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CORPS ETRANGER DE L’OESOPHAGE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19"/>
        </w:numPr>
      </w:pPr>
      <w:r>
        <w:rPr/>
        <w:t>Définir un corps étranger de l’</w:t>
      </w:r>
      <w:r>
        <w:rPr/>
        <w:t>œsophage</w:t>
      </w:r>
    </w:p>
    <w:p>
      <w:pPr>
        <w:numPr>
          <w:ilvl w:val="0"/>
          <w:numId w:val="19"/>
        </w:numPr>
      </w:pPr>
      <w:r>
        <w:rPr/>
        <w:t>Dresser le bilan clinique et lésionnel</w:t>
      </w:r>
    </w:p>
    <w:p>
      <w:pPr>
        <w:numPr>
          <w:ilvl w:val="0"/>
          <w:numId w:val="19"/>
        </w:numPr>
      </w:pPr>
      <w:r>
        <w:rPr/>
        <w:t>Dépister les complications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>
        <w:numPr>
          <w:ilvl w:val="1"/>
          <w:numId w:val="20"/>
        </w:numPr>
      </w:pPr>
      <w:r>
        <w:rPr/>
        <w:t xml:space="preserve">Tout corps solide alimentaire ou non, dégluti, qui </w:t>
      </w:r>
      <w:r>
        <w:rPr>
          <w:b/>
        </w:rPr>
        <w:t>s’arrête</w:t>
      </w:r>
      <w:r>
        <w:rPr/>
        <w:t xml:space="preserve"> dans l’</w:t>
      </w:r>
      <w:r>
        <w:rPr/>
        <w:t>œsophage</w:t>
      </w:r>
    </w:p>
    <w:p>
      <w:pPr>
        <w:pStyle w:val="Heading3"/>
      </w:pPr>
      <w:r>
        <w:rPr/>
        <w:t>Intérêts</w:t>
      </w:r>
    </w:p>
    <w:p>
      <w:pPr>
        <w:numPr>
          <w:ilvl w:val="1"/>
          <w:numId w:val="20"/>
        </w:numPr>
      </w:pPr>
      <w:r>
        <w:rPr/>
        <w:t>Plus fréquents que les corps étrangers des voies aériennes</w:t>
      </w:r>
    </w:p>
    <w:p>
      <w:pPr>
        <w:numPr>
          <w:ilvl w:val="1"/>
          <w:numId w:val="20"/>
        </w:numPr>
      </w:pPr>
      <w:r>
        <w:rPr/>
        <w:t>Enfants &lt; 6 ans (75%) et adulte &gt; 50 ans</w:t>
      </w:r>
    </w:p>
    <w:p>
      <w:pPr>
        <w:numPr>
          <w:ilvl w:val="1"/>
          <w:numId w:val="20"/>
        </w:numPr>
      </w:pPr>
      <w:r>
        <w:rPr/>
        <w:t>Risques de complications majeures</w:t>
      </w:r>
    </w:p>
    <w:p>
      <w:pPr>
        <w:ind w:left="360"/>
      </w:pPr>
    </w:p>
    <w:p>
      <w:pPr>
        <w:pStyle w:val="Heading3"/>
      </w:pPr>
      <w:r>
        <w:rPr/>
        <w:t>RAPPELS ANATOMIQUES</w:t>
      </w:r>
    </w:p>
    <w:p>
      <w:pPr/>
      <w:r>
        <w:drawing>
          <wp:inline xmlns:a="http://schemas.openxmlformats.org/drawingml/2006/main" xmlns:pic="http://schemas.openxmlformats.org/drawingml/2006/picture">
            <wp:extent cx="16560800" cy="1239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60800" cy="1239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16802100" cy="1257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1257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>Rétrécissements favorisant l’arrêt des CE</w:t>
      </w:r>
    </w:p>
    <w:p>
      <w:pPr>
        <w:numPr>
          <w:ilvl w:val="0"/>
          <w:numId w:val="21"/>
        </w:numPr>
      </w:pPr>
      <w:r>
        <w:rPr/>
        <w:t>BOUCHE OESO 15 cm AD</w:t>
      </w:r>
    </w:p>
    <w:p>
      <w:pPr>
        <w:numPr>
          <w:ilvl w:val="0"/>
          <w:numId w:val="21"/>
        </w:numPr>
      </w:pPr>
      <w:r>
        <w:rPr/>
        <w:t>18</w:t>
      </w:r>
    </w:p>
    <w:p>
      <w:pPr>
        <w:numPr>
          <w:ilvl w:val="0"/>
          <w:numId w:val="21"/>
        </w:numPr>
      </w:pPr>
      <w:r>
        <w:rPr/>
        <w:t>24</w:t>
      </w:r>
    </w:p>
    <w:p>
      <w:pPr>
        <w:numPr>
          <w:ilvl w:val="0"/>
          <w:numId w:val="21"/>
        </w:numPr>
      </w:pPr>
      <w:r>
        <w:rPr/>
        <w:t>32</w:t>
      </w:r>
    </w:p>
    <w:p>
      <w:pPr>
        <w:numPr>
          <w:ilvl w:val="0"/>
          <w:numId w:val="21"/>
        </w:numPr>
      </w:pPr>
      <w:r>
        <w:rPr/>
        <w:t>40</w:t>
      </w:r>
    </w:p>
    <w:p>
      <w:pPr/>
    </w:p>
    <w:p>
      <w:pPr>
        <w:pStyle w:val="Heading2"/>
      </w:pPr>
      <w:r>
        <w:rPr/>
        <w:t>BILAN ETIOLOGIQUE</w:t>
      </w:r>
    </w:p>
    <w:p>
      <w:pPr>
        <w:pStyle w:val="Heading3"/>
        <w:numPr>
          <w:ilvl w:val="0"/>
          <w:numId w:val="78"/>
        </w:numPr>
      </w:pPr>
      <w:r>
        <w:rPr/>
        <w:t>Circonstances de survenue</w:t>
      </w:r>
    </w:p>
    <w:p>
      <w:pPr>
        <w:pStyle w:val="Heading4"/>
        <w:numPr>
          <w:ilvl w:val="0"/>
          <w:numId w:val="79"/>
        </w:numPr>
      </w:pPr>
      <w:r>
        <w:rPr/>
        <w:t>Accidentelle</w:t>
      </w:r>
    </w:p>
    <w:p>
      <w:pPr>
        <w:numPr>
          <w:ilvl w:val="2"/>
          <w:numId w:val="22"/>
        </w:numPr>
      </w:pPr>
      <w:r>
        <w:rPr/>
        <w:t>Lors du repas, du jeu, du sommeil</w:t>
      </w:r>
    </w:p>
    <w:p>
      <w:pPr>
        <w:numPr>
          <w:ilvl w:val="2"/>
          <w:numId w:val="22"/>
        </w:numPr>
      </w:pPr>
      <w:r>
        <w:rPr/>
        <w:t>Certains métiers : tailleurs, tapissiers, menuisiers</w:t>
      </w:r>
    </w:p>
    <w:p>
      <w:pPr>
        <w:pStyle w:val="Heading4"/>
        <w:numPr>
          <w:ilvl w:val="0"/>
          <w:numId w:val="79"/>
        </w:numPr>
      </w:pPr>
      <w:r>
        <w:rPr/>
        <w:t>Volontaire</w:t>
      </w:r>
    </w:p>
    <w:p>
      <w:pPr>
        <w:numPr>
          <w:ilvl w:val="2"/>
          <w:numId w:val="22"/>
        </w:numPr>
      </w:pPr>
      <w:r>
        <w:rPr/>
        <w:t>Aliénés</w:t>
      </w:r>
    </w:p>
    <w:p>
      <w:pPr>
        <w:numPr>
          <w:ilvl w:val="2"/>
          <w:numId w:val="22"/>
        </w:numPr>
      </w:pPr>
      <w:r>
        <w:rPr/>
        <w:t>Tentative d’autolyse</w:t>
      </w:r>
    </w:p>
    <w:p>
      <w:pPr>
        <w:pStyle w:val="Heading3"/>
        <w:numPr>
          <w:ilvl w:val="0"/>
          <w:numId w:val="78"/>
        </w:numPr>
      </w:pPr>
      <w:r>
        <w:rPr/>
        <w:t xml:space="preserve">Facteurs </w:t>
      </w:r>
      <w:r>
        <w:rPr/>
        <w:t>favorisants</w:t>
      </w:r>
    </w:p>
    <w:p>
      <w:pPr>
        <w:numPr>
          <w:ilvl w:val="2"/>
          <w:numId w:val="22"/>
        </w:numPr>
      </w:pPr>
      <w:r>
        <w:rPr/>
        <w:t>Tachycardie</w:t>
      </w:r>
    </w:p>
    <w:p>
      <w:pPr>
        <w:numPr>
          <w:ilvl w:val="2"/>
          <w:numId w:val="22"/>
        </w:numPr>
      </w:pPr>
      <w:r>
        <w:rPr/>
        <w:t>L’émotion</w:t>
      </w:r>
      <w:r>
        <w:rPr/>
        <w:t xml:space="preserve"> surprise</w:t>
      </w:r>
    </w:p>
    <w:p>
      <w:pPr>
        <w:numPr>
          <w:ilvl w:val="2"/>
          <w:numId w:val="22"/>
        </w:numPr>
      </w:pPr>
      <w:r>
        <w:rPr/>
        <w:t xml:space="preserve">Les sténoses locales (tumeurs) : </w:t>
      </w:r>
      <w:r>
        <w:rPr>
          <w:i/>
        </w:rPr>
        <w:t>se méfier des CE à répétitions chez le sujet âgé alcoolo-tabagique</w:t>
      </w:r>
    </w:p>
    <w:p>
      <w:pPr>
        <w:numPr>
          <w:ilvl w:val="2"/>
          <w:numId w:val="22"/>
        </w:numPr>
      </w:pPr>
      <w:r>
        <w:rPr/>
        <w:t>L’état</w:t>
      </w:r>
      <w:r>
        <w:rPr/>
        <w:t xml:space="preserve"> d’ivresse</w:t>
      </w:r>
    </w:p>
    <w:p>
      <w:pPr>
        <w:numPr>
          <w:ilvl w:val="2"/>
          <w:numId w:val="22"/>
        </w:numPr>
      </w:pPr>
      <w:r>
        <w:rPr/>
        <w:t>Les affections neurologiques centrales (</w:t>
      </w:r>
      <w:r>
        <w:rPr>
          <w:i/>
        </w:rPr>
        <w:t>surtout problème de réflexe de déglutition : AVC)</w:t>
      </w:r>
    </w:p>
    <w:p>
      <w:pPr>
        <w:ind w:left="360"/>
      </w:pPr>
    </w:p>
    <w:p>
      <w:pPr>
        <w:pStyle w:val="Heading2"/>
      </w:pPr>
      <w:r>
        <w:rPr/>
        <w:t>BILAN DE NATURE</w:t>
      </w:r>
    </w:p>
    <w:p>
      <w:pPr>
        <w:pStyle w:val="Heading3"/>
        <w:numPr>
          <w:ilvl w:val="0"/>
          <w:numId w:val="80"/>
        </w:numPr>
      </w:pPr>
      <w:r>
        <w:rPr/>
        <w:t xml:space="preserve">CE vulnérant </w:t>
      </w:r>
      <w:r>
        <w:rPr/>
        <w:t>et</w:t>
      </w:r>
      <w:r>
        <w:rPr/>
        <w:t xml:space="preserve"> dangereux (</w:t>
      </w:r>
      <w:r>
        <w:rPr/>
        <w:t>CE pointu ou tranchant)</w:t>
      </w:r>
    </w:p>
    <w:p>
      <w:pPr>
        <w:pStyle w:val="Heading4"/>
        <w:numPr>
          <w:ilvl w:val="0"/>
          <w:numId w:val="81"/>
        </w:numPr>
      </w:pPr>
      <w:r>
        <w:rPr/>
        <w:t>CE organiques</w:t>
      </w:r>
    </w:p>
    <w:p>
      <w:pPr>
        <w:numPr>
          <w:ilvl w:val="2"/>
          <w:numId w:val="23"/>
        </w:numPr>
      </w:pPr>
      <w:r>
        <w:rPr/>
        <w:t xml:space="preserve">Alimentaire : </w:t>
      </w:r>
      <w:r>
        <w:rPr/>
        <w:t>arête</w:t>
      </w:r>
      <w:r>
        <w:rPr/>
        <w:t xml:space="preserve"> de poisson, os de lapin, pièce cartilagineuse</w:t>
      </w:r>
    </w:p>
    <w:p>
      <w:pPr>
        <w:numPr>
          <w:ilvl w:val="2"/>
          <w:numId w:val="23"/>
        </w:numPr>
      </w:pPr>
      <w:r>
        <w:rPr/>
        <w:t>Non alimentaire</w:t>
      </w:r>
    </w:p>
    <w:p>
      <w:pPr>
        <w:pStyle w:val="Heading4"/>
        <w:numPr>
          <w:ilvl w:val="0"/>
          <w:numId w:val="81"/>
        </w:numPr>
      </w:pPr>
      <w:r>
        <w:rPr/>
        <w:t>CE non organiques</w:t>
      </w:r>
    </w:p>
    <w:p>
      <w:pPr>
        <w:numPr>
          <w:ilvl w:val="2"/>
          <w:numId w:val="23"/>
        </w:numPr>
      </w:pPr>
      <w:r>
        <w:rPr/>
        <w:t>Clous, aiguilles, épingles à nourrice</w:t>
      </w:r>
    </w:p>
    <w:p>
      <w:pPr>
        <w:numPr>
          <w:ilvl w:val="2"/>
          <w:numId w:val="23"/>
        </w:numPr>
      </w:pPr>
      <w:r>
        <w:rPr/>
        <w:t>Jouets en plastique, lame à raser, dentiers</w:t>
      </w:r>
    </w:p>
    <w:p>
      <w:pPr>
        <w:pStyle w:val="Heading4"/>
        <w:numPr>
          <w:ilvl w:val="0"/>
          <w:numId w:val="81"/>
        </w:numPr>
      </w:pPr>
      <w:r>
        <w:rPr/>
        <w:t>CE à risque locale ou générale</w:t>
      </w:r>
    </w:p>
    <w:p>
      <w:pPr>
        <w:numPr>
          <w:ilvl w:val="2"/>
          <w:numId w:val="23"/>
        </w:numPr>
      </w:pPr>
      <w:r>
        <w:rPr/>
        <w:t>Les piles “bouton” : risque de perforation de l’</w:t>
      </w:r>
      <w:r>
        <w:rPr/>
        <w:t>œsophage</w:t>
      </w:r>
    </w:p>
    <w:p>
      <w:pPr>
        <w:numPr>
          <w:ilvl w:val="2"/>
          <w:numId w:val="23"/>
        </w:numPr>
      </w:pPr>
      <w:r>
        <w:rPr/>
        <w:t xml:space="preserve">Le body </w:t>
      </w:r>
      <w:r>
        <w:rPr/>
        <w:t>bagger</w:t>
      </w:r>
      <w:r>
        <w:rPr/>
        <w:t xml:space="preserve"> syndrome : transporteur de cocaïne</w:t>
      </w:r>
    </w:p>
    <w:p>
      <w:pPr>
        <w:pStyle w:val="Heading3"/>
        <w:numPr>
          <w:ilvl w:val="0"/>
          <w:numId w:val="80"/>
        </w:numPr>
      </w:pPr>
      <w:r>
        <w:rPr/>
        <w:t>CE non vulnérant et peu dangereux (non pointu)</w:t>
      </w:r>
    </w:p>
    <w:p>
      <w:pPr>
        <w:numPr>
          <w:ilvl w:val="2"/>
          <w:numId w:val="23"/>
        </w:numPr>
      </w:pPr>
      <w:r>
        <w:rPr/>
        <w:t>CE lisses, réguliers et non acérés</w:t>
      </w:r>
    </w:p>
    <w:p>
      <w:pPr>
        <w:numPr>
          <w:ilvl w:val="2"/>
          <w:numId w:val="23"/>
        </w:numPr>
      </w:pPr>
      <w:r>
        <w:rPr/>
        <w:t>Relativement bien tolérés</w:t>
      </w:r>
    </w:p>
    <w:p>
      <w:pPr>
        <w:numPr>
          <w:ilvl w:val="2"/>
          <w:numId w:val="23"/>
        </w:numPr>
      </w:pPr>
      <w:r>
        <w:rPr/>
        <w:t>Exemples : pièce de monnaie, boutons, cailloux</w:t>
      </w:r>
    </w:p>
    <w:p>
      <w:pPr>
        <w:ind w:left="360"/>
      </w:pPr>
    </w:p>
    <w:p>
      <w:pPr>
        <w:pStyle w:val="Heading2"/>
      </w:pPr>
      <w:r>
        <w:rPr/>
        <w:t>BILAN CLINIQUE</w:t>
      </w:r>
    </w:p>
    <w:p>
      <w:pPr>
        <w:pStyle w:val="Heading3"/>
        <w:numPr>
          <w:ilvl w:val="0"/>
          <w:numId w:val="82"/>
        </w:numPr>
      </w:pPr>
      <w:r>
        <w:rPr/>
        <w:t>Interrogatoire</w:t>
      </w:r>
    </w:p>
    <w:p>
      <w:pPr>
        <w:numPr>
          <w:ilvl w:val="1"/>
          <w:numId w:val="24"/>
        </w:numPr>
      </w:pPr>
      <w:r>
        <w:rPr/>
        <w:t>Nature et forme du CE (vulnérant ou pas</w:t>
      </w:r>
      <w:r>
        <w:rPr/>
        <w:t xml:space="preserve"> </w:t>
      </w:r>
      <w:r>
        <w:rPr/>
        <w:t>?)</w:t>
      </w:r>
    </w:p>
    <w:p>
      <w:pPr>
        <w:numPr>
          <w:ilvl w:val="1"/>
          <w:numId w:val="24"/>
        </w:numPr>
      </w:pPr>
      <w:r>
        <w:rPr>
          <w:b/>
        </w:rPr>
        <w:t>Syndrome de pénétration :</w:t>
      </w:r>
    </w:p>
    <w:p>
      <w:pPr>
        <w:numPr>
          <w:ilvl w:val="2"/>
          <w:numId w:val="24"/>
        </w:numPr>
      </w:pPr>
      <w:r>
        <w:rPr/>
        <w:t>Douleur rétro-sternale pouvant irradier vers le dos</w:t>
      </w:r>
    </w:p>
    <w:p>
      <w:pPr>
        <w:numPr>
          <w:ilvl w:val="2"/>
          <w:numId w:val="24"/>
        </w:numPr>
      </w:pPr>
      <w:r>
        <w:rPr/>
        <w:t>Dysphagie et hypersalivation (</w:t>
      </w:r>
      <w:r>
        <w:rPr>
          <w:i/>
        </w:rPr>
        <w:t xml:space="preserve">possible </w:t>
      </w:r>
      <w:r>
        <w:rPr>
          <w:i/>
        </w:rPr>
        <w:t>anatin’ny</w:t>
      </w:r>
      <w:r>
        <w:rPr>
          <w:i/>
        </w:rPr>
        <w:t xml:space="preserve"> 15 mn </w:t>
      </w:r>
      <w:r>
        <w:rPr>
          <w:i/>
        </w:rPr>
        <w:t>mahafeno</w:t>
      </w:r>
      <w:r>
        <w:rPr>
          <w:i/>
        </w:rPr>
        <w:t xml:space="preserve"> </w:t>
      </w:r>
      <w:r>
        <w:rPr>
          <w:i/>
        </w:rPr>
        <w:t>kaopy</w:t>
      </w:r>
      <w:r>
        <w:rPr>
          <w:i/>
        </w:rPr>
        <w:t xml:space="preserve"> 1)</w:t>
      </w:r>
    </w:p>
    <w:p>
      <w:pPr>
        <w:numPr>
          <w:ilvl w:val="2"/>
          <w:numId w:val="24"/>
        </w:numPr>
      </w:pPr>
      <w:r>
        <w:rPr/>
        <w:t>Troubles respiratoires parfois (</w:t>
      </w:r>
      <w:r>
        <w:rPr>
          <w:i/>
        </w:rPr>
        <w:t>selon le volume du CE)</w:t>
      </w:r>
    </w:p>
    <w:p>
      <w:pPr>
        <w:numPr>
          <w:ilvl w:val="1"/>
          <w:numId w:val="24"/>
        </w:numPr>
      </w:pPr>
      <w:r>
        <w:rPr/>
        <w:t>Heure approximative de l’accident</w:t>
      </w:r>
    </w:p>
    <w:p>
      <w:pPr>
        <w:numPr>
          <w:ilvl w:val="1"/>
          <w:numId w:val="24"/>
        </w:numPr>
      </w:pPr>
      <w:r>
        <w:rPr/>
        <w:t>Heure du dernier repas</w:t>
      </w:r>
    </w:p>
    <w:p>
      <w:pPr>
        <w:numPr>
          <w:ilvl w:val="1"/>
          <w:numId w:val="24"/>
        </w:numPr>
      </w:pPr>
      <w:r>
        <w:rPr/>
        <w:t xml:space="preserve">Antécédents pathologiques </w:t>
      </w:r>
      <w:r>
        <w:rPr/>
        <w:t>œsophagiens</w:t>
      </w:r>
    </w:p>
    <w:p>
      <w:pPr>
        <w:numPr>
          <w:ilvl w:val="1"/>
          <w:numId w:val="24"/>
        </w:numPr>
      </w:pPr>
      <w:r>
        <w:rPr/>
        <w:t>Tares associées</w:t>
      </w:r>
      <w:r>
        <w:rPr/>
        <w:t xml:space="preserve"> : HTA, diabète, asthme</w:t>
      </w:r>
    </w:p>
    <w:p>
      <w:pPr>
        <w:pStyle w:val="Heading3"/>
        <w:numPr>
          <w:ilvl w:val="0"/>
          <w:numId w:val="82"/>
        </w:numPr>
      </w:pPr>
      <w:r>
        <w:rPr/>
        <w:t>Signes généraux</w:t>
      </w:r>
    </w:p>
    <w:p>
      <w:pPr>
        <w:numPr>
          <w:ilvl w:val="1"/>
          <w:numId w:val="24"/>
        </w:numPr>
      </w:pPr>
      <w:r>
        <w:rPr/>
        <w:t>Fièvre : traduisant une complication (</w:t>
      </w:r>
      <w:r>
        <w:rPr/>
        <w:t>œsophagite</w:t>
      </w:r>
      <w:r>
        <w:rPr/>
        <w:t>, perforation)</w:t>
      </w:r>
    </w:p>
    <w:p>
      <w:pPr>
        <w:numPr>
          <w:ilvl w:val="1"/>
          <w:numId w:val="24"/>
        </w:numPr>
      </w:pPr>
      <w:r>
        <w:rPr/>
        <w:t>Etat de choc, en cas de perforation : pouls petit et filant, chute de la TA</w:t>
      </w:r>
    </w:p>
    <w:p>
      <w:pPr>
        <w:numPr>
          <w:ilvl w:val="1"/>
          <w:numId w:val="24"/>
        </w:numPr>
      </w:pPr>
      <w:r>
        <w:rPr/>
        <w:t>Retentissement de la dysphagie sur l’EG (</w:t>
      </w:r>
      <w:r>
        <w:rPr>
          <w:i/>
        </w:rPr>
        <w:t>CE ancien)</w:t>
      </w:r>
    </w:p>
    <w:p>
      <w:pPr>
        <w:numPr>
          <w:ilvl w:val="2"/>
          <w:numId w:val="24"/>
        </w:numPr>
      </w:pPr>
      <w:r>
        <w:rPr/>
        <w:t>Amaigrissement</w:t>
      </w:r>
    </w:p>
    <w:p>
      <w:pPr>
        <w:numPr>
          <w:ilvl w:val="2"/>
          <w:numId w:val="24"/>
        </w:numPr>
      </w:pPr>
      <w:r>
        <w:rPr/>
        <w:t>Dénutrition</w:t>
      </w:r>
    </w:p>
    <w:p>
      <w:pPr>
        <w:numPr>
          <w:ilvl w:val="2"/>
          <w:numId w:val="24"/>
        </w:numPr>
      </w:pPr>
      <w:r>
        <w:rPr/>
        <w:t>Déshydratation</w:t>
      </w:r>
    </w:p>
    <w:p>
      <w:pPr>
        <w:pStyle w:val="Heading3"/>
        <w:numPr>
          <w:ilvl w:val="0"/>
          <w:numId w:val="82"/>
        </w:numPr>
      </w:pPr>
      <w:r>
        <w:rPr/>
        <w:t>Signes fonctionnels</w:t>
      </w:r>
    </w:p>
    <w:p>
      <w:pPr>
        <w:numPr>
          <w:ilvl w:val="1"/>
          <w:numId w:val="24"/>
        </w:numPr>
      </w:pPr>
      <w:r>
        <w:rPr/>
        <w:t>Dysphagie : maître symptôme</w:t>
      </w:r>
    </w:p>
    <w:p>
      <w:pPr>
        <w:numPr>
          <w:ilvl w:val="2"/>
          <w:numId w:val="24"/>
        </w:numPr>
      </w:pPr>
      <w:r>
        <w:rPr/>
        <w:t>Dysphagie douloureuse : odynophagie</w:t>
      </w:r>
    </w:p>
    <w:p>
      <w:pPr>
        <w:numPr>
          <w:ilvl w:val="2"/>
          <w:numId w:val="24"/>
        </w:numPr>
      </w:pPr>
      <w:r>
        <w:rPr/>
        <w:t>S’accentue</w:t>
      </w:r>
      <w:r>
        <w:rPr/>
        <w:t xml:space="preserve"> lors de la déglutition</w:t>
      </w:r>
    </w:p>
    <w:p>
      <w:pPr>
        <w:numPr>
          <w:ilvl w:val="2"/>
          <w:numId w:val="24"/>
        </w:numPr>
      </w:pPr>
      <w:r>
        <w:rPr/>
        <w:t>Dysphagie totale en cas de CE volumineux (</w:t>
      </w:r>
      <w:r>
        <w:rPr>
          <w:i/>
        </w:rPr>
        <w:t xml:space="preserve">na </w:t>
      </w:r>
      <w:r>
        <w:rPr>
          <w:i/>
        </w:rPr>
        <w:t>ny</w:t>
      </w:r>
      <w:r>
        <w:rPr>
          <w:i/>
        </w:rPr>
        <w:t xml:space="preserve"> </w:t>
      </w:r>
      <w:r>
        <w:rPr>
          <w:i/>
        </w:rPr>
        <w:t>rorany</w:t>
      </w:r>
      <w:r>
        <w:rPr>
          <w:i/>
        </w:rPr>
        <w:t xml:space="preserve"> </w:t>
      </w:r>
      <w:r>
        <w:rPr>
          <w:i/>
        </w:rPr>
        <w:t>aza</w:t>
      </w:r>
      <w:r>
        <w:rPr>
          <w:i/>
        </w:rPr>
        <w:t xml:space="preserve"> </w:t>
      </w:r>
      <w:r>
        <w:rPr>
          <w:i/>
        </w:rPr>
        <w:t>tsy</w:t>
      </w:r>
      <w:r>
        <w:rPr>
          <w:i/>
        </w:rPr>
        <w:t xml:space="preserve"> </w:t>
      </w:r>
      <w:r>
        <w:rPr>
          <w:i/>
        </w:rPr>
        <w:t>voateliny</w:t>
      </w:r>
      <w:r>
        <w:rPr>
          <w:i/>
        </w:rPr>
        <w:t>)</w:t>
      </w:r>
    </w:p>
    <w:p>
      <w:pPr>
        <w:numPr>
          <w:ilvl w:val="1"/>
          <w:numId w:val="24"/>
        </w:numPr>
      </w:pPr>
      <w:r>
        <w:rPr/>
        <w:t xml:space="preserve">Hypersialorrhée : </w:t>
      </w:r>
    </w:p>
    <w:p>
      <w:pPr>
        <w:numPr>
          <w:ilvl w:val="2"/>
          <w:numId w:val="24"/>
        </w:numPr>
      </w:pPr>
      <w:r>
        <w:rPr/>
        <w:t xml:space="preserve">Si elle est </w:t>
      </w:r>
      <w:r>
        <w:rPr/>
        <w:t>sanglante :</w:t>
      </w:r>
      <w:r>
        <w:rPr/>
        <w:t xml:space="preserve"> craindre une perforation</w:t>
      </w:r>
    </w:p>
    <w:p>
      <w:pPr>
        <w:numPr>
          <w:ilvl w:val="2"/>
          <w:numId w:val="24"/>
        </w:numPr>
      </w:pPr>
      <w:r>
        <w:rPr/>
        <w:t xml:space="preserve">Si elle est fétide : en faveur d’une </w:t>
      </w:r>
      <w:r>
        <w:rPr/>
        <w:t>œsophagite</w:t>
      </w:r>
      <w:r>
        <w:rPr/>
        <w:t xml:space="preserve"> (CE ancien) (</w:t>
      </w:r>
      <w:r>
        <w:rPr>
          <w:i/>
        </w:rPr>
        <w:t>infection)</w:t>
      </w:r>
    </w:p>
    <w:p>
      <w:pPr>
        <w:numPr>
          <w:ilvl w:val="1"/>
          <w:numId w:val="24"/>
        </w:numPr>
      </w:pPr>
      <w:r>
        <w:rPr/>
        <w:t>Vomissements</w:t>
      </w:r>
    </w:p>
    <w:p>
      <w:pPr>
        <w:numPr>
          <w:ilvl w:val="1"/>
          <w:numId w:val="24"/>
        </w:numPr>
      </w:pPr>
      <w:r>
        <w:rPr/>
        <w:t>Régurgitation alimentaire</w:t>
      </w:r>
    </w:p>
    <w:p>
      <w:pPr>
        <w:numPr>
          <w:ilvl w:val="1"/>
          <w:numId w:val="24"/>
        </w:numPr>
      </w:pPr>
      <w:r>
        <w:rPr/>
        <w:t>CE volumineux : hoquet, toux, dyspnée</w:t>
      </w:r>
    </w:p>
    <w:p>
      <w:pPr>
        <w:pStyle w:val="Heading3"/>
        <w:numPr>
          <w:ilvl w:val="0"/>
          <w:numId w:val="82"/>
        </w:numPr>
      </w:pPr>
      <w:r>
        <w:rPr/>
        <w:t>Signes physiques :</w:t>
      </w:r>
    </w:p>
    <w:p>
      <w:pPr>
        <w:numPr>
          <w:ilvl w:val="1"/>
          <w:numId w:val="24"/>
        </w:numPr>
      </w:pPr>
      <w:r>
        <w:rPr/>
        <w:t xml:space="preserve">Examen de la cavité orale : loge tonsillaire, sillon </w:t>
      </w:r>
      <w:r>
        <w:rPr/>
        <w:t>amygdalo-glosse</w:t>
      </w:r>
      <w:r>
        <w:rPr/>
        <w:t xml:space="preserve"> (</w:t>
      </w:r>
      <w:r>
        <w:rPr>
          <w:i/>
        </w:rPr>
        <w:t xml:space="preserve">ex </w:t>
      </w:r>
      <w:r>
        <w:rPr>
          <w:i/>
        </w:rPr>
        <w:t>arête</w:t>
      </w:r>
      <w:r>
        <w:rPr>
          <w:i/>
        </w:rPr>
        <w:t xml:space="preserve"> de poisson : </w:t>
      </w:r>
      <w:r>
        <w:rPr>
          <w:i/>
        </w:rPr>
        <w:t>mitsatoka</w:t>
      </w:r>
      <w:r>
        <w:rPr>
          <w:i/>
        </w:rPr>
        <w:t xml:space="preserve"> </w:t>
      </w:r>
      <w:r>
        <w:rPr>
          <w:i/>
        </w:rPr>
        <w:t>eo</w:t>
      </w:r>
      <w:r>
        <w:rPr>
          <w:i/>
        </w:rPr>
        <w:t xml:space="preserve"> </w:t>
      </w:r>
      <w:r>
        <w:rPr>
          <w:i/>
        </w:rPr>
        <w:t>amin’ny</w:t>
      </w:r>
      <w:r>
        <w:rPr>
          <w:i/>
        </w:rPr>
        <w:t xml:space="preserve"> amygdale)</w:t>
      </w:r>
    </w:p>
    <w:p>
      <w:pPr>
        <w:numPr>
          <w:ilvl w:val="1"/>
          <w:numId w:val="24"/>
        </w:numPr>
      </w:pPr>
      <w:r>
        <w:rPr/>
        <w:t xml:space="preserve">Laryngoscopie indirecte ou </w:t>
      </w:r>
      <w:r>
        <w:rPr/>
        <w:t>Nasofibrolarngoscopie</w:t>
      </w:r>
      <w:r>
        <w:rPr/>
        <w:t xml:space="preserve"> (NFL) : </w:t>
      </w:r>
      <w:r>
        <w:rPr>
          <w:i/>
        </w:rPr>
        <w:t>non obligatoire</w:t>
      </w:r>
    </w:p>
    <w:p>
      <w:pPr>
        <w:numPr>
          <w:ilvl w:val="2"/>
          <w:numId w:val="24"/>
        </w:numPr>
      </w:pPr>
      <w:r>
        <w:rPr/>
        <w:t xml:space="preserve">Larynx : éliminer </w:t>
      </w:r>
      <w:r>
        <w:rPr/>
        <w:t>une laryngite</w:t>
      </w:r>
      <w:r>
        <w:rPr/>
        <w:t xml:space="preserve"> ou un CE des VAI</w:t>
      </w:r>
    </w:p>
    <w:p>
      <w:pPr>
        <w:numPr>
          <w:ilvl w:val="2"/>
          <w:numId w:val="24"/>
        </w:numPr>
      </w:pPr>
      <w:r>
        <w:rPr/>
        <w:t xml:space="preserve">Hypopharynx : stase salivaire dans le récessus piriforme (--&gt; hypersialorrhée </w:t>
      </w:r>
      <w:r>
        <w:rPr/>
        <w:t>satria</w:t>
      </w:r>
      <w:r>
        <w:rPr/>
        <w:t xml:space="preserve"> </w:t>
      </w:r>
      <w:r>
        <w:rPr/>
        <w:t>tsy</w:t>
      </w:r>
      <w:r>
        <w:rPr/>
        <w:t xml:space="preserve"> </w:t>
      </w:r>
      <w:r>
        <w:rPr/>
        <w:t>voatelina</w:t>
      </w:r>
      <w:r>
        <w:rPr/>
        <w:t xml:space="preserve"> </w:t>
      </w:r>
      <w:r>
        <w:rPr/>
        <w:t>ilay</w:t>
      </w:r>
      <w:r>
        <w:rPr/>
        <w:t xml:space="preserve"> </w:t>
      </w:r>
      <w:r>
        <w:rPr/>
        <w:t>rora</w:t>
      </w:r>
      <w:r>
        <w:rPr/>
        <w:t>)</w:t>
      </w:r>
    </w:p>
    <w:p>
      <w:pPr>
        <w:numPr>
          <w:ilvl w:val="1"/>
          <w:numId w:val="24"/>
        </w:numPr>
      </w:pPr>
      <w:r>
        <w:rPr/>
        <w:t>Examen cervical : recherche un emphysème sous-cutané</w:t>
      </w:r>
    </w:p>
    <w:p>
      <w:pPr>
        <w:numPr>
          <w:ilvl w:val="2"/>
          <w:numId w:val="24"/>
        </w:numPr>
      </w:pPr>
      <w:r>
        <w:rPr/>
        <w:t>Empâtement douloureux de la région cervicale</w:t>
      </w:r>
    </w:p>
    <w:p>
      <w:pPr>
        <w:numPr>
          <w:ilvl w:val="2"/>
          <w:numId w:val="24"/>
        </w:numPr>
      </w:pPr>
      <w:r>
        <w:rPr/>
        <w:t>Crépitations neigeuses</w:t>
      </w:r>
      <w:r>
        <w:rPr/>
        <w:t xml:space="preserve"> à la palpation</w:t>
      </w:r>
    </w:p>
    <w:p>
      <w:pPr>
        <w:pStyle w:val="Heading3"/>
        <w:numPr>
          <w:ilvl w:val="0"/>
          <w:numId w:val="82"/>
        </w:numPr>
      </w:pPr>
      <w:r>
        <w:rPr/>
        <w:t>Eliminer</w:t>
      </w:r>
    </w:p>
    <w:p>
      <w:pPr>
        <w:numPr>
          <w:ilvl w:val="1"/>
          <w:numId w:val="24"/>
        </w:numPr>
      </w:pPr>
      <w:r>
        <w:rPr>
          <w:b/>
        </w:rPr>
        <w:t xml:space="preserve">CE non </w:t>
      </w:r>
      <w:r>
        <w:rPr>
          <w:b/>
        </w:rPr>
        <w:t>œsophagiens</w:t>
      </w:r>
      <w:r>
        <w:rPr>
          <w:b/>
        </w:rPr>
        <w:t xml:space="preserve"> : </w:t>
      </w:r>
      <w:r>
        <w:rPr/>
        <w:t>oropharynx, hypopharynx, VAI</w:t>
      </w:r>
    </w:p>
    <w:p>
      <w:pPr>
        <w:numPr>
          <w:ilvl w:val="1"/>
          <w:numId w:val="24"/>
        </w:numPr>
      </w:pPr>
      <w:r>
        <w:rPr/>
        <w:t>Pseudo CE : le CE a déjà migré dans l’estomac</w:t>
      </w:r>
    </w:p>
    <w:p>
      <w:pPr>
        <w:ind w:left="360"/>
      </w:pPr>
    </w:p>
    <w:p>
      <w:pPr>
        <w:pStyle w:val="Heading2"/>
      </w:pPr>
      <w:r>
        <w:rPr/>
        <w:t>BILAN LESIONNEL</w:t>
      </w:r>
    </w:p>
    <w:p>
      <w:pPr>
        <w:pStyle w:val="Heading3"/>
        <w:numPr>
          <w:ilvl w:val="0"/>
          <w:numId w:val="83"/>
        </w:numPr>
      </w:pPr>
      <w:r>
        <w:rPr/>
        <w:t>Examens radiologiques :</w:t>
      </w:r>
    </w:p>
    <w:p>
      <w:pPr>
        <w:numPr>
          <w:ilvl w:val="1"/>
          <w:numId w:val="25"/>
        </w:numPr>
      </w:pPr>
      <w:r>
        <w:rPr/>
        <w:t>Incidences :</w:t>
      </w:r>
    </w:p>
    <w:p>
      <w:pPr>
        <w:numPr>
          <w:ilvl w:val="2"/>
          <w:numId w:val="25"/>
        </w:numPr>
      </w:pPr>
      <w:r>
        <w:rPr/>
        <w:t xml:space="preserve">RX des </w:t>
      </w:r>
      <w:r>
        <w:rPr>
          <w:u w:val="single"/>
        </w:rPr>
        <w:t>parties molles</w:t>
      </w:r>
      <w:r>
        <w:rPr/>
        <w:t xml:space="preserve"> du cou : face et profil</w:t>
      </w:r>
    </w:p>
    <w:p>
      <w:pPr>
        <w:numPr>
          <w:ilvl w:val="2"/>
          <w:numId w:val="25"/>
        </w:numPr>
      </w:pPr>
      <w:r>
        <w:rPr/>
        <w:t>Rx</w:t>
      </w:r>
      <w:r>
        <w:rPr/>
        <w:t xml:space="preserve"> thoracique : face et profil</w:t>
      </w:r>
    </w:p>
    <w:p>
      <w:pPr>
        <w:numPr>
          <w:ilvl w:val="1"/>
          <w:numId w:val="25"/>
        </w:numPr>
      </w:pPr>
      <w:r>
        <w:rPr/>
        <w:t>CE radio-opaque : diagnostic facile</w:t>
      </w:r>
    </w:p>
    <w:p>
      <w:pPr>
        <w:numPr>
          <w:ilvl w:val="1"/>
          <w:numId w:val="25"/>
        </w:numPr>
      </w:pPr>
      <w:r>
        <w:rPr/>
        <w:t>CE non radio-opaque : rechercher des signes indirects</w:t>
      </w:r>
    </w:p>
    <w:p>
      <w:pPr>
        <w:numPr>
          <w:ilvl w:val="2"/>
          <w:numId w:val="25"/>
        </w:numPr>
      </w:pPr>
      <w:r>
        <w:rPr/>
        <w:t>Halo clair cernant le CE</w:t>
      </w:r>
    </w:p>
    <w:p>
      <w:pPr>
        <w:numPr>
          <w:ilvl w:val="2"/>
          <w:numId w:val="25"/>
        </w:numPr>
      </w:pPr>
      <w:r>
        <w:rPr/>
        <w:t xml:space="preserve">Epaississement des tissus </w:t>
      </w:r>
      <w:r>
        <w:rPr/>
        <w:t>prévertébraux</w:t>
      </w:r>
      <w:r>
        <w:rPr/>
        <w:t xml:space="preserve"> cervicaux</w:t>
      </w:r>
    </w:p>
    <w:p>
      <w:pPr>
        <w:numPr>
          <w:ilvl w:val="1"/>
          <w:numId w:val="25"/>
        </w:numPr>
      </w:pPr>
      <w:r>
        <w:rPr/>
        <w:t>Signes de complication</w:t>
      </w:r>
    </w:p>
    <w:p>
      <w:pPr>
        <w:numPr>
          <w:ilvl w:val="2"/>
          <w:numId w:val="25"/>
        </w:numPr>
      </w:pPr>
      <w:r>
        <w:rPr/>
        <w:t xml:space="preserve">Signe de </w:t>
      </w:r>
      <w:r>
        <w:rPr/>
        <w:t>Minigérode</w:t>
      </w:r>
      <w:r>
        <w:rPr/>
        <w:t xml:space="preserve"> (cliché de profil) : (</w:t>
      </w:r>
      <w:r>
        <w:rPr>
          <w:i/>
        </w:rPr>
        <w:t>signe de perforation de l’</w:t>
      </w:r>
      <w:r>
        <w:rPr>
          <w:i/>
        </w:rPr>
        <w:t>œsophage</w:t>
      </w:r>
      <w:r>
        <w:rPr>
          <w:i/>
        </w:rPr>
        <w:t>)</w:t>
      </w:r>
    </w:p>
    <w:p>
      <w:pPr>
        <w:numPr>
          <w:ilvl w:val="3"/>
          <w:numId w:val="25"/>
        </w:numPr>
      </w:pPr>
      <w:r>
        <w:rPr/>
        <w:t>Elargissement de l’espace rétro-</w:t>
      </w:r>
      <w:r>
        <w:rPr/>
        <w:t>œsophagienne</w:t>
      </w:r>
      <w:r>
        <w:rPr/>
        <w:t xml:space="preserve"> et rectitude de la colonne cervicale</w:t>
      </w:r>
    </w:p>
    <w:p>
      <w:pPr/>
      <w:r>
        <w:drawing>
          <wp:inline xmlns:a="http://schemas.openxmlformats.org/drawingml/2006/main" xmlns:pic="http://schemas.openxmlformats.org/drawingml/2006/picture">
            <wp:extent cx="16256000" cy="12166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0" cy="1216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25"/>
        </w:numPr>
      </w:pPr>
      <w:r>
        <w:rPr/>
        <w:t>Pneumo-médiastin, pneumothorax, hydropneumothorax</w:t>
      </w:r>
    </w:p>
    <w:p>
      <w:pPr>
        <w:pStyle w:val="Heading3"/>
        <w:numPr>
          <w:ilvl w:val="0"/>
          <w:numId w:val="83"/>
        </w:numPr>
      </w:pPr>
      <w:r>
        <w:rPr/>
        <w:t>Examens biologiques</w:t>
      </w:r>
    </w:p>
    <w:p>
      <w:pPr>
        <w:numPr>
          <w:ilvl w:val="1"/>
          <w:numId w:val="25"/>
        </w:numPr>
      </w:pPr>
      <w:r>
        <w:rPr/>
        <w:t>Syndrome infectieux : NFS, CRP</w:t>
      </w:r>
    </w:p>
    <w:p>
      <w:pPr>
        <w:numPr>
          <w:ilvl w:val="1"/>
          <w:numId w:val="25"/>
        </w:numPr>
      </w:pPr>
      <w:r>
        <w:rPr/>
        <w:t xml:space="preserve">Etat de dénutrition et </w:t>
      </w:r>
      <w:r>
        <w:rPr/>
        <w:t>d’hydratation :</w:t>
      </w:r>
      <w:r>
        <w:rPr/>
        <w:t xml:space="preserve"> protidémie, ionogramme, hématocrite</w:t>
      </w:r>
    </w:p>
    <w:p>
      <w:pPr>
        <w:pStyle w:val="Heading3"/>
        <w:numPr>
          <w:ilvl w:val="0"/>
          <w:numId w:val="83"/>
        </w:numPr>
      </w:pPr>
      <w:r>
        <w:rPr/>
        <w:t>Fibroscopie digestive haute :</w:t>
      </w:r>
    </w:p>
    <w:p>
      <w:pPr>
        <w:numPr>
          <w:ilvl w:val="1"/>
          <w:numId w:val="25"/>
        </w:numPr>
      </w:pPr>
      <w:r>
        <w:rPr/>
        <w:t xml:space="preserve">En cas de </w:t>
      </w:r>
      <w:r>
        <w:rPr>
          <w:b/>
          <w:u w:val="single"/>
        </w:rPr>
        <w:t>doute diagnostique</w:t>
      </w:r>
      <w:r>
        <w:rPr/>
        <w:t xml:space="preserve"> :</w:t>
      </w:r>
    </w:p>
    <w:p>
      <w:pPr>
        <w:numPr>
          <w:ilvl w:val="2"/>
          <w:numId w:val="25"/>
        </w:numPr>
      </w:pPr>
      <w:r>
        <w:rPr/>
        <w:t>Arête</w:t>
      </w:r>
      <w:r>
        <w:rPr/>
        <w:t xml:space="preserve"> de poisson</w:t>
      </w:r>
    </w:p>
    <w:p>
      <w:pPr>
        <w:numPr>
          <w:ilvl w:val="2"/>
          <w:numId w:val="25"/>
        </w:numPr>
      </w:pPr>
      <w:r>
        <w:rPr/>
        <w:t>Suspicion de corps étrangers anciens</w:t>
      </w:r>
    </w:p>
    <w:p>
      <w:pPr>
        <w:ind w:left="360"/>
      </w:pPr>
    </w:p>
    <w:p>
      <w:pPr>
        <w:pStyle w:val="Heading2"/>
      </w:pPr>
      <w:r>
        <w:rPr/>
        <w:t>BILAN EVOLUTIF</w:t>
      </w:r>
    </w:p>
    <w:p>
      <w:pPr>
        <w:pStyle w:val="Heading3"/>
        <w:numPr>
          <w:ilvl w:val="0"/>
          <w:numId w:val="84"/>
        </w:numPr>
      </w:pPr>
      <w:r>
        <w:rPr/>
        <w:t>Œsophagite</w:t>
      </w:r>
      <w:r>
        <w:rPr/>
        <w:t xml:space="preserve"> :</w:t>
      </w:r>
    </w:p>
    <w:p>
      <w:pPr>
        <w:numPr>
          <w:ilvl w:val="1"/>
          <w:numId w:val="26"/>
        </w:numPr>
      </w:pPr>
      <w:r>
        <w:rPr/>
        <w:t>Due à un corps étranger ancien qui n’a pas migré</w:t>
      </w:r>
    </w:p>
    <w:p>
      <w:pPr>
        <w:numPr>
          <w:ilvl w:val="1"/>
          <w:numId w:val="26"/>
        </w:numPr>
      </w:pPr>
      <w:r>
        <w:rPr/>
        <w:t>Clinique :</w:t>
      </w:r>
    </w:p>
    <w:p>
      <w:pPr>
        <w:numPr>
          <w:ilvl w:val="2"/>
          <w:numId w:val="26"/>
        </w:numPr>
      </w:pPr>
      <w:r>
        <w:rPr/>
        <w:t>AEG et dénutrition</w:t>
      </w:r>
    </w:p>
    <w:p>
      <w:pPr>
        <w:numPr>
          <w:ilvl w:val="2"/>
          <w:numId w:val="26"/>
        </w:numPr>
      </w:pPr>
      <w:r>
        <w:rPr/>
        <w:t>Odynophagie nette</w:t>
      </w:r>
    </w:p>
    <w:p>
      <w:pPr>
        <w:numPr>
          <w:ilvl w:val="2"/>
          <w:numId w:val="26"/>
        </w:numPr>
      </w:pPr>
      <w:r>
        <w:rPr/>
        <w:t xml:space="preserve">Sialorrhée fétide </w:t>
      </w:r>
    </w:p>
    <w:p>
      <w:pPr>
        <w:numPr>
          <w:ilvl w:val="2"/>
          <w:numId w:val="26"/>
        </w:numPr>
      </w:pPr>
      <w:r>
        <w:rPr>
          <w:b/>
        </w:rPr>
        <w:t>Pas d’emphysème cervical</w:t>
      </w:r>
    </w:p>
    <w:p>
      <w:pPr>
        <w:numPr>
          <w:ilvl w:val="1"/>
          <w:numId w:val="26"/>
        </w:numPr>
      </w:pPr>
      <w:r>
        <w:rPr>
          <w:b/>
        </w:rPr>
        <w:t>Radiographie :</w:t>
      </w:r>
    </w:p>
    <w:p>
      <w:pPr>
        <w:numPr>
          <w:ilvl w:val="2"/>
          <w:numId w:val="26"/>
        </w:numPr>
      </w:pPr>
      <w:r>
        <w:rPr>
          <w:b/>
        </w:rPr>
        <w:t xml:space="preserve">Pas de signe de </w:t>
      </w:r>
      <w:r>
        <w:rPr>
          <w:b/>
        </w:rPr>
        <w:t>Minigérode</w:t>
      </w:r>
    </w:p>
    <w:p>
      <w:pPr>
        <w:numPr>
          <w:ilvl w:val="2"/>
          <w:numId w:val="26"/>
        </w:numPr>
      </w:pPr>
      <w:r>
        <w:rPr/>
        <w:t>Pas d’élargissement médiastinal</w:t>
      </w:r>
    </w:p>
    <w:p>
      <w:pPr>
        <w:pStyle w:val="Heading3"/>
        <w:numPr>
          <w:ilvl w:val="0"/>
          <w:numId w:val="84"/>
        </w:numPr>
      </w:pPr>
      <w:r>
        <w:rPr/>
        <w:t xml:space="preserve">Perforation </w:t>
      </w:r>
      <w:r>
        <w:rPr/>
        <w:t>œsophagienne</w:t>
      </w:r>
    </w:p>
    <w:p>
      <w:pPr>
        <w:numPr>
          <w:ilvl w:val="1"/>
          <w:numId w:val="26"/>
        </w:numPr>
      </w:pPr>
      <w:r>
        <w:rPr/>
        <w:t xml:space="preserve">Due à </w:t>
      </w:r>
      <w:r>
        <w:rPr/>
        <w:t>une CE vulnérant</w:t>
      </w:r>
      <w:r>
        <w:rPr/>
        <w:t>, pointu ou tranchant</w:t>
      </w:r>
    </w:p>
    <w:p>
      <w:pPr>
        <w:numPr>
          <w:ilvl w:val="1"/>
          <w:numId w:val="26"/>
        </w:numPr>
      </w:pPr>
      <w:r>
        <w:rPr/>
        <w:t>Clinique</w:t>
      </w:r>
    </w:p>
    <w:p>
      <w:pPr>
        <w:numPr>
          <w:ilvl w:val="2"/>
          <w:numId w:val="26"/>
        </w:numPr>
      </w:pPr>
      <w:r>
        <w:rPr/>
        <w:t>Signes de choc, fièvre à 38-39°</w:t>
      </w:r>
    </w:p>
    <w:p>
      <w:pPr>
        <w:numPr>
          <w:ilvl w:val="2"/>
          <w:numId w:val="26"/>
        </w:numPr>
      </w:pPr>
      <w:r>
        <w:rPr/>
        <w:t>Douleur aiguë irradiant vers le thorax, l’épaule et le dos</w:t>
      </w:r>
    </w:p>
    <w:p>
      <w:pPr>
        <w:numPr>
          <w:ilvl w:val="2"/>
          <w:numId w:val="26"/>
        </w:numPr>
      </w:pPr>
      <w:r>
        <w:rPr/>
        <w:t>Dysphagie totale avec odynophagie et otalgie</w:t>
      </w:r>
    </w:p>
    <w:p>
      <w:pPr>
        <w:numPr>
          <w:ilvl w:val="2"/>
          <w:numId w:val="26"/>
        </w:numPr>
      </w:pPr>
      <w:r>
        <w:rPr/>
        <w:t>Hypersialorrhée sanglante</w:t>
      </w:r>
    </w:p>
    <w:p>
      <w:pPr>
        <w:numPr>
          <w:ilvl w:val="2"/>
          <w:numId w:val="26"/>
        </w:numPr>
      </w:pPr>
      <w:r>
        <w:rPr/>
        <w:t xml:space="preserve">Emphysème sous-cutané diffus </w:t>
      </w:r>
      <w:r>
        <w:rPr/>
        <w:br/>
      </w:r>
    </w:p>
    <w:p>
      <w:pPr>
        <w:numPr>
          <w:ilvl w:val="2"/>
          <w:numId w:val="26"/>
        </w:numPr>
      </w:pPr>
      <w:r>
        <w:rPr/>
        <w:t xml:space="preserve">=&gt; </w:t>
      </w:r>
      <w:r>
        <w:rPr>
          <w:b/>
        </w:rPr>
        <w:t>Triade de HAUTAN : dysphagie + fièvre + emphysème sous-cutané</w:t>
      </w:r>
      <w:r>
        <w:rPr/>
      </w:r>
    </w:p>
    <w:p>
      <w:pPr>
        <w:numPr>
          <w:ilvl w:val="3"/>
          <w:numId w:val="26"/>
        </w:numPr>
      </w:pPr>
      <w:r>
        <w:rPr>
          <w:b/>
        </w:rPr>
        <w:t>Radiographie :</w:t>
      </w:r>
      <w:r>
        <w:rPr/>
        <w:t xml:space="preserve"> signe de MINIGERODE</w:t>
      </w:r>
    </w:p>
    <w:p>
      <w:pPr>
        <w:numPr>
          <w:ilvl w:val="3"/>
          <w:numId w:val="26"/>
        </w:numPr>
      </w:pPr>
      <w:r>
        <w:rPr/>
        <w:t>Risque de cellulite cervico-médiastinale mortelle</w:t>
      </w:r>
    </w:p>
    <w:p>
      <w:pPr>
        <w:ind w:left="360"/>
      </w:pPr>
    </w:p>
    <w:p>
      <w:pPr>
        <w:pStyle w:val="Heading2"/>
      </w:pPr>
      <w:r>
        <w:rPr/>
        <w:t>PRINCIPES DU TRAITEMENT</w:t>
      </w:r>
    </w:p>
    <w:p>
      <w:pPr>
        <w:pStyle w:val="Heading3"/>
        <w:numPr>
          <w:ilvl w:val="0"/>
          <w:numId w:val="85"/>
        </w:numPr>
      </w:pPr>
      <w:r>
        <w:rPr/>
        <w:t>Traitement médical</w:t>
      </w:r>
    </w:p>
    <w:p>
      <w:pPr>
        <w:numPr>
          <w:ilvl w:val="1"/>
          <w:numId w:val="27"/>
        </w:numPr>
      </w:pPr>
      <w:r>
        <w:rPr/>
        <w:t>Mise au repos de l’</w:t>
      </w:r>
      <w:r>
        <w:rPr/>
        <w:t>œsophage</w:t>
      </w:r>
    </w:p>
    <w:p>
      <w:pPr>
        <w:numPr>
          <w:ilvl w:val="1"/>
          <w:numId w:val="27"/>
        </w:numPr>
      </w:pPr>
      <w:r>
        <w:rPr/>
        <w:t>Lutte contre l’infection</w:t>
      </w:r>
    </w:p>
    <w:p>
      <w:pPr>
        <w:numPr>
          <w:ilvl w:val="1"/>
          <w:numId w:val="27"/>
        </w:numPr>
      </w:pPr>
      <w:r>
        <w:rPr/>
        <w:t>Prophylaxie antiémétique</w:t>
      </w:r>
    </w:p>
    <w:p>
      <w:pPr>
        <w:numPr>
          <w:ilvl w:val="1"/>
          <w:numId w:val="27"/>
        </w:numPr>
      </w:pPr>
      <w:r>
        <w:rPr/>
        <w:t>Lutte contre l’</w:t>
      </w:r>
      <w:r>
        <w:rPr/>
        <w:t>œdème</w:t>
      </w:r>
      <w:r>
        <w:rPr/>
        <w:t>, l’hypersécrétion et le spasme</w:t>
      </w:r>
    </w:p>
    <w:p>
      <w:pPr>
        <w:numPr>
          <w:ilvl w:val="1"/>
          <w:numId w:val="27"/>
        </w:numPr>
      </w:pPr>
      <w:r>
        <w:rPr/>
        <w:t>Gestes de réanimation en cas d’AEG</w:t>
      </w:r>
    </w:p>
    <w:p>
      <w:pPr>
        <w:pStyle w:val="Heading3"/>
        <w:numPr>
          <w:ilvl w:val="0"/>
          <w:numId w:val="85"/>
        </w:numPr>
      </w:pPr>
      <w:r>
        <w:rPr/>
        <w:t>Traitements chirurgicaux :</w:t>
      </w:r>
    </w:p>
    <w:p>
      <w:pPr>
        <w:numPr>
          <w:ilvl w:val="1"/>
          <w:numId w:val="27"/>
        </w:numPr>
      </w:pPr>
      <w:r>
        <w:rPr>
          <w:b/>
        </w:rPr>
        <w:t xml:space="preserve">Traitement de référence : </w:t>
      </w:r>
      <w:r>
        <w:rPr>
          <w:b/>
        </w:rPr>
        <w:t>Œsophagoscopie</w:t>
      </w:r>
      <w:r>
        <w:rPr>
          <w:b/>
        </w:rPr>
        <w:t xml:space="preserve"> au tube rigide </w:t>
      </w:r>
      <w:r>
        <w:rPr>
          <w:b/>
          <w:u w:val="single"/>
        </w:rPr>
        <w:t>sous AG</w:t>
      </w:r>
      <w:r>
        <w:rPr/>
        <w:t xml:space="preserve"> </w:t>
      </w:r>
      <w:r>
        <w:rPr>
          <w:i/>
        </w:rPr>
        <w:t>(vu les réflexes de vomissements, de toux)</w:t>
      </w:r>
    </w:p>
    <w:p>
      <w:pPr>
        <w:numPr>
          <w:ilvl w:val="1"/>
          <w:numId w:val="27"/>
        </w:numPr>
      </w:pPr>
      <w:r>
        <w:rPr/>
        <w:t xml:space="preserve">En cas d’échec : </w:t>
      </w:r>
      <w:r>
        <w:rPr/>
        <w:t>œsophagotomie</w:t>
      </w:r>
      <w:r>
        <w:rPr/>
        <w:t xml:space="preserve"> par voie externe</w:t>
      </w:r>
    </w:p>
    <w:p>
      <w:pPr/>
      <w:r>
        <w:drawing>
          <wp:inline xmlns:a="http://schemas.openxmlformats.org/drawingml/2006/main" xmlns:pic="http://schemas.openxmlformats.org/drawingml/2006/picture">
            <wp:extent cx="16649699" cy="12458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49699" cy="1245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28"/>
        </w:numPr>
      </w:pPr>
      <w:r>
        <w:rPr/>
        <w:t>Se méfier des CE vulnérants, pointus et tranchants</w:t>
      </w:r>
    </w:p>
    <w:p>
      <w:pPr>
        <w:numPr>
          <w:ilvl w:val="0"/>
          <w:numId w:val="28"/>
        </w:numPr>
      </w:pPr>
      <w:r>
        <w:rPr/>
        <w:t xml:space="preserve">Traitement de référence : </w:t>
      </w:r>
      <w:r>
        <w:rPr/>
        <w:t>œsophagoscopie</w:t>
      </w:r>
      <w:r>
        <w:rPr/>
        <w:t xml:space="preserve"> au tube rigide S/AG</w:t>
      </w:r>
    </w:p>
    <w:p>
      <w:pPr>
        <w:numPr>
          <w:ilvl w:val="0"/>
          <w:numId w:val="28"/>
        </w:numPr>
      </w:pPr>
      <w:r>
        <w:rPr/>
        <w:t>Les principales complications :</w:t>
      </w:r>
    </w:p>
    <w:p>
      <w:pPr>
        <w:numPr>
          <w:ilvl w:val="1"/>
          <w:numId w:val="28"/>
        </w:numPr>
      </w:pPr>
      <w:r>
        <w:rPr/>
        <w:t>Œsophagite</w:t>
      </w:r>
    </w:p>
    <w:p>
      <w:pPr>
        <w:numPr>
          <w:ilvl w:val="1"/>
          <w:numId w:val="28"/>
        </w:numPr>
      </w:pPr>
      <w:r>
        <w:rPr/>
        <w:t>Perforation de l’</w:t>
      </w:r>
      <w:r>
        <w:rPr/>
        <w:t>œsophage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