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FRACTURE DU ROCHER</w:t>
      </w:r>
    </w:p>
    <w:p>
      <w:pPr>
        <w:numPr>
          <w:ilvl w:val="0"/>
          <w:numId w:val="62"/>
        </w:numPr>
      </w:pPr>
      <w:r>
        <w:rPr/>
        <w:t>Rocher : os qui fait partie de l’os temporal</w:t>
      </w:r>
    </w:p>
    <w:p>
      <w:pPr>
        <w:numPr>
          <w:ilvl w:val="0"/>
          <w:numId w:val="62"/>
        </w:numPr>
      </w:pPr>
      <w:r>
        <w:rPr/>
        <w:t>Rocher : partie supérieure endocranienne, inférieure exocrânienne</w:t>
      </w:r>
    </w:p>
    <w:p>
      <w:pPr/>
    </w:p>
    <w:p>
      <w:pPr>
        <w:pStyle w:val="Heading2"/>
      </w:pPr>
      <w:r>
        <w:rPr/>
        <w:t>Objectifs :</w:t>
      </w:r>
    </w:p>
    <w:p>
      <w:pPr>
        <w:numPr>
          <w:ilvl w:val="0"/>
          <w:numId w:val="63"/>
        </w:numPr>
      </w:pPr>
      <w:r>
        <w:rPr/>
        <w:t>Rechercher les signes qui évoquent une fracture du rocher chez un polytraumatisé</w:t>
      </w:r>
    </w:p>
    <w:p>
      <w:pPr>
        <w:numPr>
          <w:ilvl w:val="0"/>
          <w:numId w:val="63"/>
        </w:numPr>
      </w:pPr>
      <w:r>
        <w:rPr/>
        <w:t xml:space="preserve">Identifier les situations urgentes </w:t>
      </w:r>
    </w:p>
    <w:p>
      <w:pPr>
        <w:numPr>
          <w:ilvl w:val="0"/>
          <w:numId w:val="63"/>
        </w:numPr>
      </w:pPr>
      <w:r>
        <w:rPr/>
        <w:t>Citer les différentes formes cliniques</w:t>
      </w:r>
    </w:p>
    <w:p>
      <w:pPr>
        <w:numPr>
          <w:ilvl w:val="0"/>
          <w:numId w:val="63"/>
        </w:numPr>
      </w:pPr>
      <w:r>
        <w:rPr/>
        <w:t>Enoncer les principes thérapeutiques</w:t>
      </w:r>
      <w:r>
        <w:rPr/>
        <w:br/>
      </w:r>
    </w:p>
    <w:p>
      <w:pPr>
        <w:pStyle w:val="Heading2"/>
      </w:pPr>
      <w:r>
        <w:rPr/>
        <w:t>INTRODUCTION</w:t>
      </w:r>
      <w:r>
        <w:rPr/>
        <w:t xml:space="preserve"> </w:t>
      </w:r>
    </w:p>
    <w:p>
      <w:pPr>
        <w:numPr>
          <w:ilvl w:val="0"/>
          <w:numId w:val="64"/>
        </w:numPr>
      </w:pPr>
      <w:r>
        <w:rPr/>
        <w:t xml:space="preserve">Solution de continuité de la pyramide pétreuse due à un choc violent entraînant un risque </w:t>
      </w:r>
      <w:r>
        <w:rPr/>
        <w:t>neurosensoriel</w:t>
      </w:r>
      <w:r>
        <w:rPr/>
        <w:t xml:space="preserve"> spécifique par la lésion des organes de l’audition (cochlée), de l’équilibre et du nerf facial</w:t>
      </w:r>
    </w:p>
    <w:p>
      <w:pPr>
        <w:numPr>
          <w:ilvl w:val="0"/>
          <w:numId w:val="64"/>
        </w:numPr>
      </w:pPr>
      <w:r>
        <w:rPr/>
        <w:t>Risque vital, neurologique et infectieuse (en contact direct avec le cerveau)</w:t>
      </w:r>
    </w:p>
    <w:p>
      <w:pPr>
        <w:numPr>
          <w:ilvl w:val="0"/>
          <w:numId w:val="64"/>
        </w:numPr>
      </w:pPr>
      <w:r>
        <w:rPr/>
        <w:t>Fréquence de ce traumatisme est augmenté par le développement de l’activité humaine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111"/>
        </w:numPr>
      </w:pPr>
      <w:r>
        <w:rPr/>
        <w:t>DIAGNOSTIC POSITIF</w:t>
      </w:r>
    </w:p>
    <w:p>
      <w:pPr>
        <w:pStyle w:val="Heading4"/>
        <w:numPr>
          <w:ilvl w:val="0"/>
          <w:numId w:val="112"/>
        </w:numPr>
      </w:pPr>
      <w:r>
        <w:rPr/>
        <w:t>TDD : Fracture longitudinale isolée</w:t>
      </w:r>
    </w:p>
    <w:p>
      <w:pPr>
        <w:numPr>
          <w:ilvl w:val="1"/>
          <w:numId w:val="65"/>
        </w:numPr>
      </w:pPr>
      <w:r>
        <w:rPr/>
        <w:t>Justification : forme la plus fréquente, 70-80%, secondaire à un choc latéral : point d’impact temporo-pariétal</w:t>
      </w:r>
    </w:p>
    <w:p>
      <w:pPr>
        <w:numPr>
          <w:ilvl w:val="1"/>
          <w:numId w:val="65"/>
        </w:numPr>
      </w:pPr>
      <w:r>
        <w:rPr/>
        <w:t xml:space="preserve">Le trait de fracture est parallèle à l’axe du rocher et extra-labyrinthique, et </w:t>
      </w:r>
      <w:r>
        <w:rPr>
          <w:b/>
        </w:rPr>
        <w:t>entraîne toujours une hémorragie dans la caisse du tympan (</w:t>
      </w:r>
      <w:r>
        <w:rPr>
          <w:b/>
          <w:i/>
        </w:rPr>
        <w:t>ex : hémorragie rétro-tympanique)</w:t>
      </w:r>
    </w:p>
    <w:p>
      <w:pPr>
        <w:pStyle w:val="Heading5"/>
      </w:pPr>
      <w:r>
        <w:rPr/>
        <w:t>SIGNES CLINIQUES :</w:t>
      </w:r>
    </w:p>
    <w:p>
      <w:pPr>
        <w:numPr>
          <w:ilvl w:val="2"/>
          <w:numId w:val="65"/>
        </w:numPr>
      </w:pPr>
      <w:r>
        <w:rPr/>
        <w:t>Acouphène (bourdonnement)</w:t>
      </w:r>
    </w:p>
    <w:p>
      <w:pPr>
        <w:numPr>
          <w:ilvl w:val="2"/>
          <w:numId w:val="65"/>
        </w:numPr>
      </w:pPr>
      <w:r>
        <w:rPr/>
        <w:t>Hypoacousie, de type transmission</w:t>
      </w:r>
    </w:p>
    <w:p>
      <w:pPr>
        <w:numPr>
          <w:ilvl w:val="2"/>
          <w:numId w:val="65"/>
        </w:numPr>
      </w:pPr>
      <w:r>
        <w:rPr/>
        <w:t>Otoliquorrhée ou rhinoliquorrhée : fuite de LCS au niveau de l’oreille ou au niveau du nez</w:t>
      </w:r>
    </w:p>
    <w:p>
      <w:pPr>
        <w:numPr>
          <w:ilvl w:val="2"/>
          <w:numId w:val="65"/>
        </w:numPr>
      </w:pPr>
      <w:r>
        <w:rPr/>
        <w:t>Otorragie (</w:t>
      </w:r>
      <w:r>
        <w:rPr>
          <w:i/>
        </w:rPr>
        <w:t>lors d’un traumatisme crânien, = fracture du rocher jusqu’à preuve du contraire)</w:t>
      </w:r>
    </w:p>
    <w:p>
      <w:pPr>
        <w:numPr>
          <w:ilvl w:val="2"/>
          <w:numId w:val="65"/>
        </w:numPr>
      </w:pPr>
      <w:r>
        <w:rPr/>
        <w:t>Epistaxis</w:t>
      </w:r>
    </w:p>
    <w:p>
      <w:pPr>
        <w:numPr>
          <w:ilvl w:val="2"/>
          <w:numId w:val="65"/>
        </w:numPr>
      </w:pPr>
      <w:r>
        <w:rPr/>
        <w:t>Vertige (positionnel avec nystagmus spontané soit secondaire à une fistule périlymphatique soit secondaire à une commotion labyrinthique, soit Hydrops</w:t>
      </w:r>
    </w:p>
    <w:p>
      <w:pPr>
        <w:pStyle w:val="Heading5"/>
      </w:pPr>
      <w:r>
        <w:rPr/>
        <w:t>Signes physiques</w:t>
      </w:r>
    </w:p>
    <w:p>
      <w:pPr>
        <w:numPr>
          <w:ilvl w:val="2"/>
          <w:numId w:val="65"/>
        </w:numPr>
      </w:pPr>
      <w:r>
        <w:rPr/>
        <w:t>Ecchymose ou déchirure du méat acoustique externe</w:t>
      </w:r>
    </w:p>
    <w:p>
      <w:pPr>
        <w:numPr>
          <w:ilvl w:val="2"/>
          <w:numId w:val="65"/>
        </w:numPr>
      </w:pPr>
      <w:r>
        <w:rPr/>
        <w:t>Otoscopie : Perforation tympanique ou hémotympan (50-90% des cas si pas de perforation)</w:t>
      </w:r>
    </w:p>
    <w:p>
      <w:pPr>
        <w:numPr>
          <w:ilvl w:val="2"/>
          <w:numId w:val="65"/>
        </w:numPr>
      </w:pPr>
      <w:r>
        <w:rPr/>
        <w:t>Lésions ossiculaires (vu au scanner)</w:t>
      </w:r>
    </w:p>
    <w:p>
      <w:pPr>
        <w:numPr>
          <w:ilvl w:val="2"/>
          <w:numId w:val="65"/>
        </w:numPr>
      </w:pPr>
      <w:r>
        <w:rPr/>
        <w:t>Au niveau de la face :</w:t>
      </w:r>
    </w:p>
    <w:p>
      <w:pPr>
        <w:numPr>
          <w:ilvl w:val="3"/>
          <w:numId w:val="65"/>
        </w:numPr>
      </w:pPr>
      <w:r>
        <w:rPr/>
        <w:t>Plaie ou cicatrice selon l’ancienneté du traumatisme</w:t>
      </w:r>
    </w:p>
    <w:p>
      <w:pPr>
        <w:numPr>
          <w:ilvl w:val="3"/>
          <w:numId w:val="65"/>
        </w:numPr>
      </w:pPr>
      <w:r>
        <w:rPr/>
        <w:t>Hématome ou ecchymose rétro-auriculaire (</w:t>
      </w:r>
      <w:r>
        <w:rPr>
          <w:i/>
        </w:rPr>
        <w:t xml:space="preserve">au niveau de l’os mastoïde) = </w:t>
      </w:r>
      <w:r>
        <w:rPr>
          <w:b/>
        </w:rPr>
        <w:t>signe de BATTLE</w:t>
      </w:r>
    </w:p>
    <w:p>
      <w:pPr>
        <w:numPr>
          <w:ilvl w:val="2"/>
          <w:numId w:val="65"/>
        </w:numPr>
      </w:pPr>
      <w:r>
        <w:rPr/>
        <w:t>Trouble de l’articulé dentaire</w:t>
      </w:r>
    </w:p>
    <w:p>
      <w:pPr>
        <w:numPr>
          <w:ilvl w:val="2"/>
          <w:numId w:val="65"/>
        </w:numPr>
      </w:pPr>
      <w:r>
        <w:rPr/>
        <w:t>Mobilité oculaire (paralysie oculo-motrice</w:t>
      </w:r>
      <w:r>
        <w:rPr/>
        <w:t xml:space="preserve"> </w:t>
      </w:r>
      <w:r>
        <w:rPr/>
        <w:t xml:space="preserve">? </w:t>
      </w:r>
      <w:r>
        <w:rPr>
          <w:i/>
        </w:rPr>
        <w:t>par l’atteinte du VI</w:t>
      </w:r>
      <w:r>
        <w:rPr/>
        <w:t>)</w:t>
      </w:r>
    </w:p>
    <w:p>
      <w:pPr>
        <w:numPr>
          <w:ilvl w:val="2"/>
          <w:numId w:val="65"/>
        </w:numPr>
      </w:pPr>
      <w:r>
        <w:rPr/>
        <w:t>Sensibilité de la face (</w:t>
      </w:r>
      <w:r>
        <w:rPr>
          <w:i/>
        </w:rPr>
        <w:t>territoire du V supérieur et inférieur)</w:t>
      </w:r>
    </w:p>
    <w:p>
      <w:pPr>
        <w:numPr>
          <w:ilvl w:val="2"/>
          <w:numId w:val="65"/>
        </w:numPr>
      </w:pPr>
      <w:r>
        <w:rPr/>
        <w:t>Rechercher une paralysie faciale (</w:t>
      </w:r>
      <w:r>
        <w:rPr>
          <w:i/>
        </w:rPr>
        <w:t>présent dans 20% des cas)</w:t>
      </w:r>
    </w:p>
    <w:p>
      <w:pPr>
        <w:numPr>
          <w:ilvl w:val="2"/>
          <w:numId w:val="65"/>
        </w:numPr>
      </w:pPr>
      <w:r>
        <w:rPr/>
        <w:t>Examen vestibulaire clinique</w:t>
      </w:r>
    </w:p>
    <w:p>
      <w:pPr>
        <w:pStyle w:val="Heading5"/>
      </w:pPr>
      <w:r>
        <w:rPr/>
        <w:t>PARACLINIQUES</w:t>
      </w:r>
    </w:p>
    <w:p>
      <w:pPr>
        <w:numPr>
          <w:ilvl w:val="2"/>
          <w:numId w:val="65"/>
        </w:numPr>
      </w:pPr>
      <w:r>
        <w:rPr/>
        <w:t>Acoumétrie (</w:t>
      </w:r>
      <w:r>
        <w:rPr>
          <w:i/>
        </w:rPr>
        <w:t>test au diapason pour déterminer si surdité de transmission ou de perception)</w:t>
      </w:r>
    </w:p>
    <w:p>
      <w:pPr>
        <w:numPr>
          <w:ilvl w:val="2"/>
          <w:numId w:val="65"/>
        </w:numPr>
      </w:pPr>
      <w:r>
        <w:rPr/>
        <w:t xml:space="preserve">Examen des paires </w:t>
      </w:r>
      <w:r>
        <w:rPr/>
        <w:t>crâniennes</w:t>
      </w:r>
    </w:p>
    <w:p>
      <w:pPr>
        <w:numPr>
          <w:ilvl w:val="2"/>
          <w:numId w:val="65"/>
        </w:numPr>
      </w:pPr>
      <w:r>
        <w:rPr/>
        <w:t>Scanner du rocher</w:t>
      </w:r>
      <w:r>
        <w:rPr/>
        <w:br/>
      </w:r>
    </w:p>
    <w:p>
      <w:pPr>
        <w:pStyle w:val="Heading4"/>
        <w:numPr>
          <w:ilvl w:val="0"/>
          <w:numId w:val="112"/>
        </w:numPr>
      </w:pPr>
      <w:r>
        <w:rPr/>
        <w:t>FRACTURE TRANSVERSALE ISOLEE</w:t>
      </w:r>
    </w:p>
    <w:p>
      <w:pPr>
        <w:numPr>
          <w:ilvl w:val="1"/>
          <w:numId w:val="65"/>
        </w:numPr>
      </w:pPr>
      <w:r>
        <w:rPr/>
        <w:t xml:space="preserve">Lésion transversale et translabyrinthique, 10-30% des </w:t>
      </w:r>
      <w:r>
        <w:rPr/>
        <w:t>cas ;</w:t>
      </w:r>
      <w:r>
        <w:rPr/>
        <w:t xml:space="preserve"> perpendiculaire à l’axe du rocher, passe par le labyrinthe. Dû à un choc frontal ou occipital entraînant une lésion cochléo-vestibulaire et facial (nerf)</w:t>
      </w:r>
    </w:p>
    <w:p>
      <w:pPr>
        <w:numPr>
          <w:ilvl w:val="1"/>
          <w:numId w:val="65"/>
        </w:numPr>
      </w:pPr>
      <w:r>
        <w:rPr>
          <w:b/>
        </w:rPr>
        <w:t xml:space="preserve">SIGNES CLINIQUES </w:t>
      </w:r>
    </w:p>
    <w:p>
      <w:pPr>
        <w:numPr>
          <w:ilvl w:val="2"/>
          <w:numId w:val="65"/>
        </w:numPr>
      </w:pPr>
      <w:r>
        <w:rPr/>
        <w:t xml:space="preserve">Vertige </w:t>
      </w:r>
      <w:r>
        <w:rPr/>
        <w:t>aiguë</w:t>
      </w:r>
    </w:p>
    <w:p>
      <w:pPr>
        <w:numPr>
          <w:ilvl w:val="2"/>
          <w:numId w:val="65"/>
        </w:numPr>
      </w:pPr>
      <w:r>
        <w:rPr/>
        <w:t>Cophose (</w:t>
      </w:r>
      <w:r>
        <w:rPr>
          <w:i/>
        </w:rPr>
        <w:t>perte totale de l’audition, vraie surdité)</w:t>
      </w:r>
    </w:p>
    <w:p>
      <w:pPr>
        <w:numPr>
          <w:ilvl w:val="2"/>
          <w:numId w:val="65"/>
        </w:numPr>
      </w:pPr>
      <w:r>
        <w:rPr/>
        <w:t>Acouphène et paralysie faciale</w:t>
      </w:r>
      <w:r>
        <w:rPr/>
        <w:br/>
      </w:r>
    </w:p>
    <w:p>
      <w:pPr>
        <w:pStyle w:val="Heading4"/>
        <w:numPr>
          <w:ilvl w:val="0"/>
          <w:numId w:val="112"/>
        </w:numPr>
      </w:pPr>
      <w:r>
        <w:rPr/>
        <w:t>FRACTURE MIXTE OU BILATERALE</w:t>
      </w:r>
    </w:p>
    <w:p>
      <w:pPr>
        <w:numPr>
          <w:ilvl w:val="1"/>
          <w:numId w:val="65"/>
        </w:numPr>
      </w:pPr>
      <w:r>
        <w:rPr/>
        <w:t>Rare, secondaire à un violent choc temporal latéral. Peut être associé à une lésion de la carotide interne (</w:t>
      </w:r>
      <w:r>
        <w:rPr>
          <w:i/>
        </w:rPr>
        <w:t>car canal carotidien dans le rocher)</w:t>
      </w:r>
      <w:r>
        <w:rPr>
          <w:i/>
        </w:rPr>
        <w:br/>
      </w:r>
    </w:p>
    <w:p>
      <w:pPr>
        <w:pStyle w:val="Heading4"/>
        <w:numPr>
          <w:ilvl w:val="0"/>
          <w:numId w:val="112"/>
        </w:numPr>
      </w:pPr>
      <w:r>
        <w:rPr/>
        <w:t>FRACTURE DU ROCHER CHEZ L’ENFANT</w:t>
      </w:r>
      <w:r>
        <w:rPr/>
        <w:br/>
      </w:r>
    </w:p>
    <w:p>
      <w:pPr>
        <w:pStyle w:val="Heading4"/>
        <w:numPr>
          <w:ilvl w:val="0"/>
          <w:numId w:val="112"/>
        </w:numPr>
      </w:pPr>
      <w:r>
        <w:rPr/>
        <w:t>FRACTURE DE LA POINTE DU ROCHER</w:t>
      </w:r>
    </w:p>
    <w:p>
      <w:pPr>
        <w:numPr>
          <w:ilvl w:val="1"/>
          <w:numId w:val="65"/>
        </w:numPr>
      </w:pPr>
      <w:r>
        <w:rPr/>
        <w:t>+++atteinte du VI : paralysie oculo-motrice</w:t>
      </w:r>
    </w:p>
    <w:p>
      <w:pPr>
        <w:numPr>
          <w:ilvl w:val="1"/>
          <w:numId w:val="65"/>
        </w:numPr>
      </w:pPr>
      <w:r>
        <w:rPr/>
        <w:t>Si lésion plus large : atteinte du V : atteinte trijuminale = trouble de la sensibilité de la face</w:t>
      </w:r>
      <w:r>
        <w:rPr/>
        <w:br/>
      </w:r>
    </w:p>
    <w:p>
      <w:pPr>
        <w:pStyle w:val="Heading4"/>
        <w:numPr>
          <w:ilvl w:val="0"/>
          <w:numId w:val="112"/>
        </w:numPr>
      </w:pPr>
      <w:r>
        <w:rPr/>
        <w:t>FRACTURE OUVERTE DU ROCHER</w:t>
      </w:r>
    </w:p>
    <w:p>
      <w:pPr>
        <w:numPr>
          <w:ilvl w:val="1"/>
          <w:numId w:val="65"/>
        </w:numPr>
      </w:pPr>
      <w:r>
        <w:rPr/>
        <w:t xml:space="preserve">Rare, secondaire à </w:t>
      </w:r>
      <w:r>
        <w:rPr/>
        <w:t>un trait</w:t>
      </w:r>
      <w:r>
        <w:rPr/>
        <w:t xml:space="preserve"> par balle</w:t>
      </w:r>
    </w:p>
    <w:p>
      <w:pPr>
        <w:numPr>
          <w:ilvl w:val="1"/>
          <w:numId w:val="65"/>
        </w:numPr>
      </w:pPr>
      <w:r>
        <w:rPr/>
        <w:t>Risque : +++ infectieux (</w:t>
      </w:r>
      <w:r>
        <w:rPr>
          <w:i/>
        </w:rPr>
        <w:t>méningite, abcès cérébral, encéphalite)</w:t>
      </w:r>
      <w:r>
        <w:rPr>
          <w:i/>
        </w:rPr>
        <w:br/>
      </w:r>
    </w:p>
    <w:p>
      <w:pPr>
        <w:pStyle w:val="Heading4"/>
        <w:numPr>
          <w:ilvl w:val="0"/>
          <w:numId w:val="112"/>
        </w:numPr>
      </w:pPr>
      <w:r>
        <w:rPr/>
        <w:t>FRACTURE DU ROCHER AVEC LESION CEREBRALE</w:t>
      </w:r>
    </w:p>
    <w:p>
      <w:pPr>
        <w:numPr>
          <w:ilvl w:val="1"/>
          <w:numId w:val="65"/>
        </w:numPr>
      </w:pPr>
      <w:r>
        <w:rPr/>
        <w:t>URGENCE NEURO-CHIRURGICALE</w:t>
      </w:r>
    </w:p>
    <w:p>
      <w:pPr>
        <w:numPr>
          <w:ilvl w:val="1"/>
          <w:numId w:val="65"/>
        </w:numPr>
      </w:pPr>
      <w:r>
        <w:rPr>
          <w:b/>
        </w:rPr>
        <w:t>Clinique :</w:t>
      </w:r>
    </w:p>
    <w:p>
      <w:pPr>
        <w:numPr>
          <w:ilvl w:val="2"/>
          <w:numId w:val="65"/>
        </w:numPr>
      </w:pPr>
      <w:r>
        <w:rPr>
          <w:b/>
        </w:rPr>
        <w:t xml:space="preserve">Coma </w:t>
      </w:r>
    </w:p>
    <w:p>
      <w:pPr>
        <w:numPr>
          <w:ilvl w:val="1"/>
          <w:numId w:val="65"/>
        </w:numPr>
      </w:pPr>
      <w:r>
        <w:rPr>
          <w:b/>
        </w:rPr>
        <w:t>Bilan des lésions :</w:t>
      </w:r>
    </w:p>
    <w:p>
      <w:pPr>
        <w:numPr>
          <w:ilvl w:val="2"/>
          <w:numId w:val="65"/>
        </w:numPr>
      </w:pPr>
      <w:r>
        <w:rPr/>
        <w:t>Lésions nerveuses</w:t>
      </w:r>
    </w:p>
    <w:p>
      <w:pPr>
        <w:numPr>
          <w:ilvl w:val="2"/>
          <w:numId w:val="65"/>
        </w:numPr>
      </w:pPr>
      <w:r>
        <w:rPr/>
        <w:t>Lésions méningées (hématome extra, sous-dural, brèche méningé)</w:t>
      </w:r>
    </w:p>
    <w:p>
      <w:pPr>
        <w:numPr>
          <w:ilvl w:val="2"/>
          <w:numId w:val="65"/>
        </w:numPr>
      </w:pPr>
      <w:r>
        <w:rPr/>
        <w:t>Lésions encéphaliques</w:t>
      </w:r>
    </w:p>
    <w:p>
      <w:pPr>
        <w:numPr>
          <w:ilvl w:val="1"/>
          <w:numId w:val="65"/>
        </w:numPr>
      </w:pPr>
      <w:r>
        <w:rPr/>
        <w:t>Clinique</w:t>
      </w:r>
    </w:p>
    <w:p>
      <w:pPr>
        <w:numPr>
          <w:ilvl w:val="2"/>
          <w:numId w:val="65"/>
        </w:numPr>
      </w:pPr>
      <w:r>
        <w:rPr/>
        <w:t>Otorragie</w:t>
      </w:r>
    </w:p>
    <w:p>
      <w:pPr>
        <w:numPr>
          <w:ilvl w:val="2"/>
          <w:numId w:val="65"/>
        </w:numPr>
      </w:pPr>
      <w:r>
        <w:rPr/>
        <w:t>Otoliquorrhée</w:t>
      </w:r>
    </w:p>
    <w:p>
      <w:pPr>
        <w:numPr>
          <w:ilvl w:val="2"/>
          <w:numId w:val="65"/>
        </w:numPr>
      </w:pPr>
      <w:r>
        <w:rPr/>
        <w:t>Paralysie faciale</w:t>
      </w:r>
      <w:r>
        <w:rPr/>
        <w:br/>
      </w:r>
    </w:p>
    <w:p>
      <w:pPr>
        <w:pStyle w:val="Heading2"/>
      </w:pPr>
      <w:r>
        <w:rPr/>
        <w:t>DIAGNOSTIC ETIOLOGIQUE</w:t>
      </w:r>
    </w:p>
    <w:p>
      <w:pPr>
        <w:numPr>
          <w:ilvl w:val="0"/>
          <w:numId w:val="66"/>
        </w:numPr>
      </w:pPr>
      <w:r>
        <w:rPr/>
        <w:t>Secondaire à un traumatisme :</w:t>
      </w:r>
    </w:p>
    <w:p>
      <w:pPr>
        <w:numPr>
          <w:ilvl w:val="1"/>
          <w:numId w:val="66"/>
        </w:numPr>
      </w:pPr>
      <w:r>
        <w:rPr/>
        <w:t>Choc antéro-</w:t>
      </w:r>
      <w:r>
        <w:rPr/>
        <w:t>postérieur</w:t>
      </w:r>
      <w:r>
        <w:rPr>
          <w:i/>
        </w:rPr>
        <w:t xml:space="preserve"> (</w:t>
      </w:r>
      <w:r>
        <w:rPr>
          <w:i/>
        </w:rPr>
        <w:t>-&gt; fracture transversale)</w:t>
      </w:r>
    </w:p>
    <w:p>
      <w:pPr>
        <w:numPr>
          <w:ilvl w:val="1"/>
          <w:numId w:val="66"/>
        </w:numPr>
      </w:pPr>
      <w:r>
        <w:rPr/>
        <w:t xml:space="preserve">Chocs </w:t>
      </w:r>
      <w:r>
        <w:rPr/>
        <w:t>latéraux</w:t>
      </w:r>
      <w:r>
        <w:rPr>
          <w:i/>
        </w:rPr>
        <w:t xml:space="preserve"> (</w:t>
      </w:r>
      <w:r>
        <w:rPr>
          <w:i/>
        </w:rPr>
        <w:t>-&gt; fracture longitudinale)</w:t>
      </w:r>
    </w:p>
    <w:p>
      <w:pPr>
        <w:numPr>
          <w:ilvl w:val="1"/>
          <w:numId w:val="66"/>
        </w:numPr>
      </w:pPr>
      <w:r>
        <w:rPr/>
        <w:t>Choc occipito-mastoïdien</w:t>
      </w:r>
    </w:p>
    <w:p>
      <w:pPr/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67"/>
        </w:numPr>
      </w:pPr>
      <w:r>
        <w:rPr/>
        <w:t xml:space="preserve">Traumatisme </w:t>
      </w:r>
      <w:r>
        <w:rPr/>
        <w:t>crânien</w:t>
      </w:r>
      <w:r>
        <w:rPr/>
        <w:t xml:space="preserve"> </w:t>
      </w:r>
    </w:p>
    <w:p>
      <w:pPr>
        <w:numPr>
          <w:ilvl w:val="0"/>
          <w:numId w:val="67"/>
        </w:numPr>
      </w:pPr>
      <w:r>
        <w:rPr/>
        <w:t xml:space="preserve">Vertige : simple </w:t>
      </w:r>
      <w:r>
        <w:rPr/>
        <w:t>commotion</w:t>
      </w:r>
      <w:r>
        <w:rPr/>
        <w:t xml:space="preserve"> labyrinthique</w:t>
      </w:r>
    </w:p>
    <w:p>
      <w:pPr>
        <w:numPr>
          <w:ilvl w:val="0"/>
          <w:numId w:val="67"/>
        </w:numPr>
      </w:pPr>
      <w:r>
        <w:rPr/>
        <w:t>Otorragie : lésion tympanale (os tympanal) : la lésion se trouve au niveau de l’os du conduit auditif externe, sans hématome rétro-tympanique</w:t>
      </w:r>
    </w:p>
    <w:p>
      <w:pPr/>
    </w:p>
    <w:p>
      <w:pPr>
        <w:pStyle w:val="Heading2"/>
      </w:pPr>
      <w:r>
        <w:rPr/>
        <w:t>TRAITEMENTS</w:t>
      </w:r>
    </w:p>
    <w:p>
      <w:pPr>
        <w:pStyle w:val="Heading3"/>
        <w:numPr>
          <w:ilvl w:val="0"/>
          <w:numId w:val="68"/>
        </w:numPr>
      </w:pPr>
      <w:r>
        <w:rPr/>
        <w:t>Buts :</w:t>
      </w:r>
    </w:p>
    <w:p>
      <w:pPr>
        <w:numPr>
          <w:ilvl w:val="1"/>
          <w:numId w:val="68"/>
        </w:numPr>
      </w:pPr>
      <w:r>
        <w:rPr/>
        <w:t xml:space="preserve">Éliminer les urgences </w:t>
      </w:r>
      <w:r>
        <w:rPr/>
        <w:t>neurochirurgicales</w:t>
      </w:r>
      <w:r>
        <w:rPr/>
        <w:t xml:space="preserve"> (</w:t>
      </w:r>
      <w:r>
        <w:rPr>
          <w:i/>
        </w:rPr>
        <w:t>coma, plaies cérébrales etc.)</w:t>
      </w:r>
    </w:p>
    <w:p>
      <w:pPr>
        <w:numPr>
          <w:ilvl w:val="1"/>
          <w:numId w:val="68"/>
        </w:numPr>
      </w:pPr>
      <w:r>
        <w:rPr/>
        <w:t>Traiter les complications</w:t>
      </w:r>
    </w:p>
    <w:p>
      <w:pPr>
        <w:pStyle w:val="Heading3"/>
        <w:numPr>
          <w:ilvl w:val="0"/>
          <w:numId w:val="68"/>
        </w:numPr>
      </w:pPr>
      <w:r>
        <w:rPr/>
        <w:t>Moyens :</w:t>
      </w:r>
    </w:p>
    <w:p>
      <w:pPr>
        <w:numPr>
          <w:ilvl w:val="1"/>
          <w:numId w:val="68"/>
        </w:numPr>
      </w:pPr>
      <w:r>
        <w:rPr>
          <w:b/>
        </w:rPr>
        <w:t>Médicaux</w:t>
      </w:r>
    </w:p>
    <w:p>
      <w:pPr>
        <w:numPr>
          <w:ilvl w:val="2"/>
          <w:numId w:val="68"/>
        </w:numPr>
      </w:pPr>
      <w:r>
        <w:rPr/>
        <w:t>Corticothérapie</w:t>
      </w:r>
    </w:p>
    <w:p>
      <w:pPr>
        <w:numPr>
          <w:ilvl w:val="2"/>
          <w:numId w:val="68"/>
        </w:numPr>
      </w:pPr>
      <w:r>
        <w:rPr/>
        <w:t xml:space="preserve">Vasodilatateurs </w:t>
      </w:r>
    </w:p>
    <w:p>
      <w:pPr>
        <w:numPr>
          <w:ilvl w:val="2"/>
          <w:numId w:val="68"/>
        </w:numPr>
      </w:pPr>
      <w:r>
        <w:rPr/>
        <w:t xml:space="preserve">Antibiotiques </w:t>
      </w:r>
    </w:p>
    <w:p>
      <w:pPr>
        <w:numPr>
          <w:ilvl w:val="2"/>
          <w:numId w:val="68"/>
        </w:numPr>
      </w:pPr>
      <w:r>
        <w:rPr/>
        <w:t>Anti vertigineux</w:t>
      </w:r>
    </w:p>
    <w:p>
      <w:pPr>
        <w:numPr>
          <w:ilvl w:val="2"/>
          <w:numId w:val="68"/>
        </w:numPr>
      </w:pPr>
      <w:r>
        <w:rPr/>
        <w:t xml:space="preserve">Diurétiques </w:t>
      </w:r>
    </w:p>
    <w:p>
      <w:pPr>
        <w:numPr>
          <w:ilvl w:val="1"/>
          <w:numId w:val="68"/>
        </w:numPr>
      </w:pPr>
      <w:r>
        <w:rPr>
          <w:b/>
        </w:rPr>
        <w:t>Chirurgicaux :</w:t>
      </w:r>
    </w:p>
    <w:p>
      <w:pPr>
        <w:numPr>
          <w:ilvl w:val="2"/>
          <w:numId w:val="68"/>
        </w:numPr>
      </w:pPr>
      <w:r>
        <w:rPr/>
        <w:t>Exploration et décompression du nerf facial</w:t>
      </w:r>
    </w:p>
    <w:p>
      <w:pPr>
        <w:numPr>
          <w:ilvl w:val="2"/>
          <w:numId w:val="68"/>
        </w:numPr>
      </w:pPr>
      <w:r>
        <w:rPr/>
        <w:t>Myringoplastie</w:t>
      </w:r>
    </w:p>
    <w:p>
      <w:pPr>
        <w:numPr>
          <w:ilvl w:val="2"/>
          <w:numId w:val="68"/>
        </w:numPr>
      </w:pPr>
      <w:r>
        <w:rPr/>
        <w:t xml:space="preserve">Ossiculoplastie </w:t>
      </w:r>
    </w:p>
    <w:p>
      <w:pPr>
        <w:numPr>
          <w:ilvl w:val="2"/>
          <w:numId w:val="68"/>
        </w:numPr>
      </w:pPr>
      <w:r>
        <w:rPr/>
        <w:t>Implant cochléaire</w:t>
      </w:r>
    </w:p>
    <w:p>
      <w:pPr>
        <w:pStyle w:val="Heading3"/>
        <w:numPr>
          <w:ilvl w:val="0"/>
          <w:numId w:val="68"/>
        </w:numPr>
      </w:pPr>
      <w:r>
        <w:rPr/>
        <w:t>Indications :</w:t>
      </w:r>
    </w:p>
    <w:p>
      <w:pPr>
        <w:numPr>
          <w:ilvl w:val="1"/>
          <w:numId w:val="68"/>
        </w:numPr>
      </w:pPr>
      <w:r>
        <w:rPr/>
        <w:t>Paralysie faciale immédiate : exploration et décompression du nerf facial</w:t>
      </w:r>
    </w:p>
    <w:p>
      <w:pPr>
        <w:numPr>
          <w:ilvl w:val="1"/>
          <w:numId w:val="68"/>
        </w:numPr>
      </w:pPr>
      <w:r>
        <w:rPr/>
        <w:t>Section totale du nerf faciale : suture ou greffe du nerf</w:t>
      </w:r>
    </w:p>
    <w:p>
      <w:pPr>
        <w:numPr>
          <w:ilvl w:val="1"/>
          <w:numId w:val="68"/>
        </w:numPr>
      </w:pPr>
      <w:r>
        <w:rPr/>
        <w:t xml:space="preserve">Surdité de transmission : </w:t>
      </w:r>
    </w:p>
    <w:p>
      <w:pPr>
        <w:numPr>
          <w:ilvl w:val="2"/>
          <w:numId w:val="68"/>
        </w:numPr>
      </w:pPr>
      <w:r>
        <w:rPr/>
        <w:t>Si</w:t>
      </w:r>
      <w:r>
        <w:rPr/>
        <w:t xml:space="preserve"> perforation tympanique, attendre 6 mois pour une cicatrisation spontanée. Si absence de fermeture </w:t>
      </w:r>
      <w:r>
        <w:rPr/>
        <w:t>au-delà</w:t>
      </w:r>
      <w:r>
        <w:rPr/>
        <w:t xml:space="preserve"> de 6 mois, myringoplastie</w:t>
      </w:r>
    </w:p>
    <w:p>
      <w:pPr>
        <w:numPr>
          <w:ilvl w:val="2"/>
          <w:numId w:val="68"/>
        </w:numPr>
      </w:pPr>
      <w:r>
        <w:rPr/>
        <w:t>Lésion des osselets : exploration de l’oreille moyenne (chirurgical) et ossiculoplastie</w:t>
      </w:r>
    </w:p>
    <w:p>
      <w:pPr>
        <w:numPr>
          <w:ilvl w:val="1"/>
          <w:numId w:val="68"/>
        </w:numPr>
      </w:pPr>
      <w:r>
        <w:rPr/>
        <w:t>Surdité de perception (</w:t>
      </w:r>
      <w:r>
        <w:rPr>
          <w:i/>
        </w:rPr>
        <w:t xml:space="preserve">lésion </w:t>
      </w:r>
      <w:r>
        <w:rPr>
          <w:i/>
        </w:rPr>
        <w:t>translabyrinthique )</w:t>
      </w:r>
      <w:r>
        <w:rPr>
          <w:i/>
        </w:rPr>
        <w:t xml:space="preserve"> : </w:t>
      </w:r>
      <w:r>
        <w:rPr/>
        <w:t>Vasodilatateurs, corticoïdes</w:t>
      </w:r>
    </w:p>
    <w:p>
      <w:pPr>
        <w:numPr>
          <w:ilvl w:val="1"/>
          <w:numId w:val="68"/>
        </w:numPr>
      </w:pPr>
      <w:r>
        <w:rPr/>
        <w:t>Fistule périlymphatique : colmatage de la fistule (chirurgicale)</w:t>
      </w:r>
    </w:p>
    <w:p>
      <w:pPr>
        <w:numPr>
          <w:ilvl w:val="1"/>
          <w:numId w:val="68"/>
        </w:numPr>
      </w:pPr>
      <w:r>
        <w:rPr/>
        <w:t>Cophose bilatérale : implant cochléaire</w:t>
      </w:r>
    </w:p>
    <w:p>
      <w:pPr>
        <w:numPr>
          <w:ilvl w:val="1"/>
          <w:numId w:val="68"/>
        </w:numPr>
      </w:pPr>
      <w:r>
        <w:rPr/>
        <w:t>Otoliquorrhée : attendre une fermeture spontanée ou faire une chirurgie immédiate, en fonction du débit</w:t>
      </w:r>
    </w:p>
    <w:p>
      <w:pPr>
        <w:numPr>
          <w:ilvl w:val="1"/>
          <w:numId w:val="68"/>
        </w:numPr>
      </w:pPr>
      <w:r>
        <w:rPr/>
        <w:t xml:space="preserve">Vertige : </w:t>
      </w:r>
    </w:p>
    <w:p>
      <w:pPr>
        <w:numPr>
          <w:ilvl w:val="2"/>
          <w:numId w:val="68"/>
        </w:numPr>
      </w:pPr>
      <w:r>
        <w:rPr/>
        <w:t>VPPB : kinésithérapie</w:t>
      </w:r>
    </w:p>
    <w:p>
      <w:pPr>
        <w:numPr>
          <w:ilvl w:val="2"/>
          <w:numId w:val="68"/>
        </w:numPr>
      </w:pPr>
      <w:r>
        <w:rPr/>
        <w:t>Commotion labyrinthique : Bétahistine, corticothérapie et diurétiques</w:t>
      </w:r>
    </w:p>
    <w:p>
      <w:pPr>
        <w:pStyle w:val="Heading3"/>
        <w:numPr>
          <w:ilvl w:val="0"/>
          <w:numId w:val="68"/>
        </w:numPr>
      </w:pPr>
      <w:r>
        <w:rPr/>
        <w:t>Evolution</w:t>
      </w:r>
    </w:p>
    <w:p>
      <w:pPr>
        <w:numPr>
          <w:ilvl w:val="1"/>
          <w:numId w:val="68"/>
        </w:numPr>
      </w:pPr>
      <w:r>
        <w:rPr/>
        <w:t>Favorable avec amélioration clinique</w:t>
      </w:r>
    </w:p>
    <w:p>
      <w:pPr>
        <w:numPr>
          <w:ilvl w:val="1"/>
          <w:numId w:val="68"/>
        </w:numPr>
      </w:pPr>
      <w:r>
        <w:rPr/>
        <w:t>Séquelles fonctionnelles (</w:t>
      </w:r>
      <w:r>
        <w:rPr>
          <w:i/>
        </w:rPr>
        <w:t>au niveau du nerf facial, cochlée)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69"/>
        </w:numPr>
      </w:pPr>
      <w:r>
        <w:rPr/>
        <w:t>Double risque : risque fonctionnel et vital</w:t>
      </w:r>
    </w:p>
    <w:p>
      <w:pPr>
        <w:numPr>
          <w:ilvl w:val="0"/>
          <w:numId w:val="69"/>
        </w:numPr>
      </w:pPr>
      <w:r>
        <w:rPr/>
        <w:t>Toujours éliminer les urgences neurochirurgicales</w:t>
      </w:r>
    </w:p>
    <w:p>
      <w:pPr>
        <w:spacing w:after="200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