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NEVRITE VESTIBULAIRE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55"/>
        </w:numPr>
      </w:pPr>
      <w:r>
        <w:rPr/>
        <w:t>Définir la neuronite vestibulaire</w:t>
      </w:r>
    </w:p>
    <w:p>
      <w:pPr>
        <w:numPr>
          <w:ilvl w:val="0"/>
          <w:numId w:val="55"/>
        </w:numPr>
      </w:pPr>
      <w:r>
        <w:rPr/>
        <w:t xml:space="preserve">Décrire </w:t>
      </w:r>
      <w:r>
        <w:rPr>
          <w:rFonts w:ascii="Symbol" w:hAnsi="Symbol"/>
        </w:rPr>
      </w:r>
      <w:r>
        <w:rPr/>
        <w:t xml:space="preserve"> 3 caractéristiques du vertige</w:t>
      </w:r>
    </w:p>
    <w:p>
      <w:pPr>
        <w:numPr>
          <w:ilvl w:val="0"/>
          <w:numId w:val="55"/>
        </w:numPr>
      </w:pPr>
      <w:r>
        <w:rPr/>
        <w:t>Démontrer l’origine périphérique</w:t>
      </w:r>
    </w:p>
    <w:p>
      <w:pPr>
        <w:numPr>
          <w:ilvl w:val="0"/>
          <w:numId w:val="55"/>
        </w:numPr>
      </w:pPr>
      <w:r>
        <w:rPr/>
        <w:t xml:space="preserve">Enoncer </w:t>
      </w:r>
      <w:r>
        <w:rPr>
          <w:rFonts w:ascii="Symbol" w:hAnsi="Symbol"/>
        </w:rPr>
      </w:r>
      <w:r>
        <w:rPr/>
        <w:t xml:space="preserve"> 3 principes du traitement</w:t>
      </w:r>
    </w:p>
    <w:p>
      <w:pPr/>
    </w:p>
    <w:p>
      <w:pPr>
        <w:pStyle w:val="Heading2"/>
      </w:pPr>
      <w:r>
        <w:rPr/>
        <w:t>INTRODUCTION</w:t>
      </w:r>
    </w:p>
    <w:p>
      <w:pPr>
        <w:numPr>
          <w:ilvl w:val="0"/>
          <w:numId w:val="56"/>
        </w:numPr>
      </w:pPr>
      <w:r>
        <w:rPr/>
        <w:t>Neuronite / névrite vestibulaire = vestibulopathie périphérique aiguë unilatérale</w:t>
      </w:r>
    </w:p>
    <w:p>
      <w:pPr>
        <w:numPr>
          <w:ilvl w:val="0"/>
          <w:numId w:val="56"/>
        </w:numPr>
      </w:pPr>
      <w:r>
        <w:rPr/>
        <w:t>Donne un syndrome vertigineux périphérique isolé, brutal</w:t>
      </w:r>
    </w:p>
    <w:p>
      <w:pPr>
        <w:numPr>
          <w:ilvl w:val="0"/>
          <w:numId w:val="56"/>
        </w:numPr>
      </w:pPr>
      <w:r>
        <w:rPr/>
        <w:t>Donne un grand vertige invalidant : urgence neurosensorielle</w:t>
      </w:r>
    </w:p>
    <w:p>
      <w:pPr>
        <w:numPr>
          <w:ilvl w:val="0"/>
          <w:numId w:val="56"/>
        </w:numPr>
      </w:pPr>
      <w:r>
        <w:rPr/>
        <w:t>Pas d’engagement du pronostic vital</w:t>
      </w:r>
    </w:p>
    <w:p>
      <w:pPr/>
    </w:p>
    <w:p>
      <w:pPr>
        <w:pStyle w:val="Heading2"/>
      </w:pPr>
      <w:r>
        <w:rPr/>
        <w:t>DIAGNOSTIC</w:t>
      </w:r>
      <w:r>
        <w:rPr/>
        <w:t xml:space="preserve"> </w:t>
      </w:r>
    </w:p>
    <w:p>
      <w:pPr>
        <w:pStyle w:val="Heading3"/>
        <w:numPr>
          <w:ilvl w:val="0"/>
          <w:numId w:val="108"/>
        </w:numPr>
      </w:pPr>
      <w:r>
        <w:rPr/>
        <w:t>DIAGNOSTIC POSITIF</w:t>
      </w:r>
    </w:p>
    <w:p>
      <w:pPr>
        <w:pStyle w:val="Heading4"/>
        <w:numPr>
          <w:ilvl w:val="0"/>
          <w:numId w:val="109"/>
        </w:numPr>
      </w:pPr>
      <w:r>
        <w:rPr/>
        <w:t>Premier épisode de NV</w:t>
      </w:r>
    </w:p>
    <w:p>
      <w:pPr>
        <w:numPr>
          <w:ilvl w:val="1"/>
          <w:numId w:val="57"/>
        </w:numPr>
      </w:pPr>
      <w:r>
        <w:rPr/>
        <w:t>Justification : riche en symptomatologie, diagnostic facile</w:t>
      </w:r>
    </w:p>
    <w:p>
      <w:pPr>
        <w:numPr>
          <w:ilvl w:val="1"/>
          <w:numId w:val="57"/>
        </w:numPr>
      </w:pPr>
      <w:r>
        <w:rPr/>
        <w:t>Circonstances :</w:t>
      </w:r>
    </w:p>
    <w:p>
      <w:pPr>
        <w:numPr>
          <w:ilvl w:val="2"/>
          <w:numId w:val="57"/>
        </w:numPr>
      </w:pPr>
      <w:r>
        <w:rPr/>
        <w:t xml:space="preserve">Syndrome viral </w:t>
      </w:r>
      <w:r>
        <w:rPr>
          <w:i/>
        </w:rPr>
        <w:t xml:space="preserve">rhinopharyngé </w:t>
      </w:r>
      <w:r>
        <w:rPr/>
        <w:t>inconstant</w:t>
      </w:r>
    </w:p>
    <w:p>
      <w:pPr>
        <w:numPr>
          <w:ilvl w:val="2"/>
          <w:numId w:val="57"/>
        </w:numPr>
      </w:pPr>
      <w:r>
        <w:rPr/>
        <w:t>Légères sensations vertigineuses intermittentes</w:t>
      </w:r>
    </w:p>
    <w:p>
      <w:pPr>
        <w:numPr>
          <w:ilvl w:val="2"/>
          <w:numId w:val="57"/>
        </w:numPr>
      </w:pPr>
      <w:r>
        <w:rPr/>
        <w:t>Puis grand vertige rotatoire invalidant</w:t>
      </w:r>
    </w:p>
    <w:p>
      <w:pPr>
        <w:numPr>
          <w:ilvl w:val="3"/>
          <w:numId w:val="57"/>
        </w:numPr>
      </w:pPr>
      <w:r>
        <w:rPr/>
        <w:t>Durant quelques heures à quelques jours (&gt; 24h)</w:t>
      </w:r>
    </w:p>
    <w:p>
      <w:pPr>
        <w:numPr>
          <w:ilvl w:val="3"/>
          <w:numId w:val="57"/>
        </w:numPr>
      </w:pPr>
      <w:r>
        <w:rPr/>
        <w:t xml:space="preserve">Avec signes neurovégétatifs (nausée, vomissement, malaise, </w:t>
      </w:r>
      <w:r>
        <w:rPr>
          <w:i/>
        </w:rPr>
        <w:t>jamais de perte de connaissance</w:t>
      </w:r>
      <w:r>
        <w:rPr/>
        <w:t>)</w:t>
      </w:r>
    </w:p>
    <w:p>
      <w:pPr>
        <w:numPr>
          <w:ilvl w:val="3"/>
          <w:numId w:val="57"/>
        </w:numPr>
      </w:pPr>
      <w:r>
        <w:rPr/>
        <w:t>Sans signe cochléaire (surdité, acouphène)</w:t>
      </w:r>
    </w:p>
    <w:p>
      <w:pPr>
        <w:numPr>
          <w:ilvl w:val="1"/>
          <w:numId w:val="57"/>
        </w:numPr>
      </w:pPr>
      <w:r>
        <w:rPr/>
        <w:t>Signes d’examen :</w:t>
      </w:r>
    </w:p>
    <w:p>
      <w:pPr>
        <w:numPr>
          <w:ilvl w:val="2"/>
          <w:numId w:val="57"/>
        </w:numPr>
      </w:pPr>
      <w:r>
        <w:rPr/>
        <w:t>Nystagmus horizonto-rotatoire (</w:t>
      </w:r>
      <w:r>
        <w:rPr>
          <w:i/>
        </w:rPr>
        <w:t>préciser la direction</w:t>
      </w:r>
    </w:p>
    <w:p>
      <w:pPr>
        <w:numPr>
          <w:ilvl w:val="2"/>
          <w:numId w:val="57"/>
        </w:numPr>
      </w:pPr>
      <w:r>
        <w:rPr/>
        <w:t>Syndrome vestibulaire harmonieux (= périphérique. Direction droite, déviations segmentaires gauches, inversement)</w:t>
      </w:r>
    </w:p>
    <w:p>
      <w:pPr>
        <w:numPr>
          <w:ilvl w:val="1"/>
          <w:numId w:val="57"/>
        </w:numPr>
      </w:pPr>
      <w:r>
        <w:rPr/>
        <w:t>Examens complémentaires :</w:t>
      </w:r>
    </w:p>
    <w:p>
      <w:pPr>
        <w:numPr>
          <w:ilvl w:val="2"/>
          <w:numId w:val="57"/>
        </w:numPr>
      </w:pPr>
      <w:r>
        <w:rPr/>
        <w:t>Aréflexie / hyporéflexie vestibulaire non compensée (</w:t>
      </w:r>
      <w:r>
        <w:rPr>
          <w:i/>
        </w:rPr>
        <w:t xml:space="preserve">à l’épreuve calorique </w:t>
      </w:r>
      <w:r>
        <w:rPr>
          <w:i/>
        </w:rPr>
        <w:t>calibrée</w:t>
      </w:r>
      <w:r>
        <w:rPr/>
      </w:r>
      <w:r>
        <w:rPr>
          <w:i/>
        </w:rPr>
        <w:t>)</w:t>
      </w:r>
    </w:p>
    <w:p>
      <w:pPr>
        <w:numPr>
          <w:ilvl w:val="2"/>
          <w:numId w:val="57"/>
        </w:numPr>
      </w:pPr>
      <w:r>
        <w:rPr/>
        <w:t>Audition normale</w:t>
      </w:r>
    </w:p>
    <w:p>
      <w:pPr>
        <w:numPr>
          <w:ilvl w:val="1"/>
          <w:numId w:val="57"/>
        </w:numPr>
      </w:pPr>
      <w:r>
        <w:rPr/>
        <w:t>-&gt; diagnostic clinique</w:t>
      </w:r>
    </w:p>
    <w:p>
      <w:pPr>
        <w:numPr>
          <w:ilvl w:val="1"/>
          <w:numId w:val="57"/>
        </w:numPr>
      </w:pPr>
      <w:r>
        <w:rPr/>
        <w:t>Evolution :</w:t>
      </w:r>
    </w:p>
    <w:p>
      <w:pPr>
        <w:numPr>
          <w:ilvl w:val="2"/>
          <w:numId w:val="57"/>
        </w:numPr>
      </w:pPr>
      <w:r>
        <w:rPr/>
        <w:t>Vertige : favorable en quelques jours</w:t>
      </w:r>
    </w:p>
    <w:p>
      <w:pPr>
        <w:numPr>
          <w:ilvl w:val="2"/>
          <w:numId w:val="57"/>
        </w:numPr>
      </w:pPr>
      <w:r>
        <w:rPr/>
        <w:t>Déséquilibre persistant plusieurs semaines</w:t>
      </w:r>
      <w:r>
        <w:rPr/>
        <w:br/>
      </w:r>
    </w:p>
    <w:p>
      <w:pPr>
        <w:pStyle w:val="Heading4"/>
        <w:numPr>
          <w:ilvl w:val="0"/>
          <w:numId w:val="109"/>
        </w:numPr>
      </w:pPr>
      <w:r>
        <w:rPr/>
        <w:t xml:space="preserve">Autres formes de </w:t>
      </w:r>
      <w:r>
        <w:rPr/>
        <w:t>NV</w:t>
      </w:r>
    </w:p>
    <w:p>
      <w:pPr>
        <w:numPr>
          <w:ilvl w:val="1"/>
          <w:numId w:val="57"/>
        </w:numPr>
      </w:pPr>
      <w:r>
        <w:rPr>
          <w:b/>
        </w:rPr>
        <w:t>Syndrome de LINDSAY HEMENWAY :</w:t>
      </w:r>
    </w:p>
    <w:p>
      <w:pPr>
        <w:numPr>
          <w:ilvl w:val="2"/>
          <w:numId w:val="57"/>
        </w:numPr>
      </w:pPr>
      <w:r>
        <w:rPr/>
        <w:t>VPPB après NV</w:t>
      </w:r>
    </w:p>
    <w:p>
      <w:pPr>
        <w:numPr>
          <w:ilvl w:val="1"/>
          <w:numId w:val="57"/>
        </w:numPr>
      </w:pPr>
      <w:r>
        <w:rPr>
          <w:b/>
        </w:rPr>
        <w:t>Récidives de NV</w:t>
      </w:r>
      <w:r>
        <w:rPr/>
        <w:t xml:space="preserve"> : NV du même côté ou de l’autre côté</w:t>
      </w:r>
      <w:r>
        <w:rPr/>
        <w:br/>
      </w:r>
    </w:p>
    <w:p>
      <w:pPr/>
    </w:p>
    <w:p>
      <w:pPr>
        <w:pStyle w:val="Heading3"/>
        <w:numPr>
          <w:ilvl w:val="0"/>
          <w:numId w:val="108"/>
        </w:numPr>
      </w:pPr>
      <w:r>
        <w:rPr/>
        <w:t>DIAGNOSTIC ETIOLOGIQUE</w:t>
      </w:r>
    </w:p>
    <w:p>
      <w:pPr>
        <w:numPr>
          <w:ilvl w:val="0"/>
          <w:numId w:val="58"/>
        </w:numPr>
      </w:pPr>
      <w:r>
        <w:rPr/>
        <w:t>Equivalent d’une section du nerf vestibulaire</w:t>
      </w:r>
    </w:p>
    <w:p>
      <w:pPr>
        <w:numPr>
          <w:ilvl w:val="0"/>
          <w:numId w:val="58"/>
        </w:numPr>
      </w:pPr>
      <w:r>
        <w:rPr/>
        <w:t>Réactivation du HSV1 au niveau du ganglion du nerf vestibulaire +++</w:t>
      </w:r>
    </w:p>
    <w:p>
      <w:pPr>
        <w:numPr>
          <w:ilvl w:val="1"/>
          <w:numId w:val="58"/>
        </w:numPr>
      </w:pPr>
      <w:r>
        <w:rPr/>
        <w:t>Parfois syndrome viral précédant l’épisode de NV</w:t>
      </w:r>
    </w:p>
    <w:p>
      <w:pPr>
        <w:numPr>
          <w:ilvl w:val="1"/>
          <w:numId w:val="58"/>
        </w:numPr>
      </w:pPr>
      <w:r>
        <w:rPr/>
        <w:t xml:space="preserve">Lésions nerveuses d’origine virale en histopathologie </w:t>
      </w:r>
      <w:r>
        <w:rPr>
          <w:i/>
        </w:rPr>
        <w:t>(post-mortem)</w:t>
      </w:r>
    </w:p>
    <w:p>
      <w:pPr/>
    </w:p>
    <w:p>
      <w:pPr>
        <w:pStyle w:val="Heading3"/>
        <w:numPr>
          <w:ilvl w:val="0"/>
          <w:numId w:val="108"/>
        </w:numPr>
      </w:pPr>
      <w:r>
        <w:rPr/>
        <w:t>DIAGNOSTIC DIFFERENTIEL</w:t>
      </w:r>
    </w:p>
    <w:p>
      <w:pPr>
        <w:numPr>
          <w:ilvl w:val="0"/>
          <w:numId w:val="59"/>
        </w:numPr>
      </w:pPr>
      <w:r>
        <w:rPr/>
        <w:t xml:space="preserve">Maladie de </w:t>
      </w:r>
      <w:r>
        <w:rPr/>
        <w:t>Ménière</w:t>
      </w:r>
      <w:r>
        <w:rPr/>
      </w:r>
    </w:p>
    <w:p>
      <w:pPr>
        <w:numPr>
          <w:ilvl w:val="0"/>
          <w:numId w:val="59"/>
        </w:numPr>
      </w:pPr>
      <w:r>
        <w:rPr/>
        <w:t>Syndrome vertigineux d’origine centrale :</w:t>
      </w:r>
    </w:p>
    <w:p>
      <w:pPr>
        <w:numPr>
          <w:ilvl w:val="1"/>
          <w:numId w:val="59"/>
        </w:numPr>
      </w:pPr>
      <w:r>
        <w:rPr/>
        <w:t xml:space="preserve">Infarctus </w:t>
      </w:r>
      <w:r>
        <w:rPr/>
        <w:t>cérébelleux</w:t>
      </w:r>
    </w:p>
    <w:p>
      <w:pPr>
        <w:numPr>
          <w:ilvl w:val="1"/>
          <w:numId w:val="59"/>
        </w:numPr>
      </w:pPr>
      <w:r>
        <w:rPr/>
        <w:t>Tumeur de la fosse postérieure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  <w:numPr>
          <w:ilvl w:val="0"/>
          <w:numId w:val="110"/>
        </w:numPr>
      </w:pPr>
      <w:r>
        <w:rPr/>
        <w:t>Buts :</w:t>
      </w:r>
    </w:p>
    <w:p>
      <w:pPr>
        <w:numPr>
          <w:ilvl w:val="1"/>
          <w:numId w:val="60"/>
        </w:numPr>
      </w:pPr>
      <w:r>
        <w:rPr/>
        <w:t>Soulagement du patient</w:t>
      </w:r>
    </w:p>
    <w:p>
      <w:pPr>
        <w:numPr>
          <w:ilvl w:val="1"/>
          <w:numId w:val="60"/>
        </w:numPr>
      </w:pPr>
      <w:r>
        <w:rPr/>
        <w:t>Récupération de fonction de l’équilibre statique et dynamique</w:t>
      </w:r>
      <w:r>
        <w:rPr/>
        <w:br/>
      </w:r>
    </w:p>
    <w:p>
      <w:pPr>
        <w:pStyle w:val="Heading3"/>
        <w:numPr>
          <w:ilvl w:val="0"/>
          <w:numId w:val="110"/>
        </w:numPr>
      </w:pPr>
      <w:r>
        <w:rPr/>
        <w:t>Moyens</w:t>
      </w:r>
      <w:r>
        <w:rPr/>
        <w:t xml:space="preserve"> :</w:t>
      </w:r>
    </w:p>
    <w:p>
      <w:pPr>
        <w:numPr>
          <w:ilvl w:val="1"/>
          <w:numId w:val="60"/>
        </w:numPr>
      </w:pPr>
      <w:r>
        <w:rPr/>
        <w:t>Corticoïdes : méthylprednisolone</w:t>
      </w:r>
    </w:p>
    <w:p>
      <w:pPr>
        <w:numPr>
          <w:ilvl w:val="1"/>
          <w:numId w:val="60"/>
        </w:numPr>
      </w:pPr>
      <w:r>
        <w:rPr/>
        <w:t xml:space="preserve">Vestibuloplégiques : </w:t>
      </w:r>
      <w:r>
        <w:rPr/>
        <w:t>acétyl</w:t>
      </w:r>
      <w:r>
        <w:rPr/>
        <w:t>-leucine</w:t>
      </w:r>
    </w:p>
    <w:p>
      <w:pPr>
        <w:numPr>
          <w:ilvl w:val="1"/>
          <w:numId w:val="60"/>
        </w:numPr>
      </w:pPr>
      <w:r>
        <w:rPr/>
        <w:t xml:space="preserve">Antiémétiques : métoclopramide, </w:t>
      </w:r>
      <w:r>
        <w:rPr/>
        <w:t>dompéridone</w:t>
      </w:r>
    </w:p>
    <w:p>
      <w:pPr>
        <w:numPr>
          <w:ilvl w:val="1"/>
          <w:numId w:val="60"/>
        </w:numPr>
      </w:pPr>
      <w:r>
        <w:rPr>
          <w:b/>
        </w:rPr>
        <w:t>Levée précoce</w:t>
      </w:r>
      <w:r>
        <w:rPr/>
      </w:r>
      <w:r>
        <w:rPr/>
        <w:t xml:space="preserve"> et rééducation vestibulaires</w:t>
      </w:r>
      <w:r>
        <w:rPr/>
        <w:br/>
      </w:r>
    </w:p>
    <w:p>
      <w:pPr>
        <w:pStyle w:val="Heading3"/>
        <w:numPr>
          <w:ilvl w:val="0"/>
          <w:numId w:val="110"/>
        </w:numPr>
      </w:pPr>
      <w:r>
        <w:rPr/>
        <w:t>Indications</w:t>
      </w:r>
    </w:p>
    <w:p>
      <w:pPr>
        <w:numPr>
          <w:ilvl w:val="1"/>
          <w:numId w:val="60"/>
        </w:numPr>
      </w:pPr>
      <w:r>
        <w:rPr/>
        <w:t>Hospitalisation + cure courte de quelques jours :</w:t>
      </w:r>
    </w:p>
    <w:p>
      <w:pPr>
        <w:numPr>
          <w:ilvl w:val="2"/>
          <w:numId w:val="60"/>
        </w:numPr>
      </w:pPr>
      <w:r>
        <w:rPr/>
        <w:t>Méthylprednisolone IV à 1mg/kg/j</w:t>
      </w:r>
    </w:p>
    <w:p>
      <w:pPr>
        <w:numPr>
          <w:ilvl w:val="2"/>
          <w:numId w:val="60"/>
        </w:numPr>
      </w:pPr>
      <w:r>
        <w:rPr/>
        <w:t>Ac</w:t>
      </w:r>
      <w:r>
        <w:rPr/>
        <w:t>é</w:t>
      </w:r>
      <w:r>
        <w:rPr/>
        <w:t>tyl-leucine IV à 500 mg x3/j</w:t>
      </w:r>
    </w:p>
    <w:p>
      <w:pPr>
        <w:numPr>
          <w:ilvl w:val="2"/>
          <w:numId w:val="60"/>
        </w:numPr>
      </w:pPr>
      <w:r>
        <w:rPr/>
        <w:t>Métoclopramide en IV à 10 mg x3/j</w:t>
      </w:r>
    </w:p>
    <w:p>
      <w:pPr>
        <w:numPr>
          <w:ilvl w:val="1"/>
          <w:numId w:val="60"/>
        </w:numPr>
      </w:pPr>
      <w:r>
        <w:rPr/>
        <w:t>Levée précoce + rééducation vestibulaire</w:t>
      </w:r>
    </w:p>
    <w:p>
      <w:pPr>
        <w:numPr>
          <w:ilvl w:val="1"/>
          <w:numId w:val="60"/>
        </w:numPr>
      </w:pPr>
      <w:r>
        <w:rPr/>
        <w:t xml:space="preserve">Syndrome de Lindsay Hemenway : </w:t>
      </w:r>
      <w:r>
        <w:rPr/>
        <w:t>manœuvre</w:t>
      </w:r>
      <w:r>
        <w:rPr/>
        <w:t xml:space="preserve"> libératoire </w:t>
      </w:r>
      <w:r>
        <w:rPr>
          <w:i/>
        </w:rPr>
        <w:t>(car VPPB associé)</w:t>
      </w:r>
    </w:p>
    <w:p>
      <w:pPr>
        <w:pStyle w:val="Heading3"/>
        <w:numPr>
          <w:ilvl w:val="0"/>
          <w:numId w:val="110"/>
        </w:numPr>
      </w:pPr>
      <w:r>
        <w:rPr/>
        <w:t>Résultats</w:t>
      </w:r>
    </w:p>
    <w:p>
      <w:pPr>
        <w:numPr>
          <w:ilvl w:val="1"/>
          <w:numId w:val="60"/>
        </w:numPr>
      </w:pPr>
      <w:r>
        <w:rPr/>
        <w:t>Récupération par exploitation de la compensation centrale : fonctions visuelles, somesthésiques et proprioceptives</w:t>
      </w:r>
    </w:p>
    <w:p>
      <w:pPr>
        <w:numPr>
          <w:ilvl w:val="1"/>
          <w:numId w:val="60"/>
        </w:numPr>
      </w:pPr>
      <w:r>
        <w:rPr/>
        <w:t>Équilibre statique rétabli en quelques jours</w:t>
      </w:r>
    </w:p>
    <w:p>
      <w:pPr>
        <w:numPr>
          <w:ilvl w:val="1"/>
          <w:numId w:val="60"/>
        </w:numPr>
      </w:pPr>
      <w:r>
        <w:rPr/>
        <w:t>Déséquilibre dynamique persistant plusieurs semaines avec hyporéflexie vestibulaire</w:t>
      </w:r>
      <w:r>
        <w:rPr/>
        <w:br/>
      </w:r>
    </w:p>
    <w:p>
      <w:pPr>
        <w:pStyle w:val="Heading3"/>
        <w:numPr>
          <w:ilvl w:val="0"/>
          <w:numId w:val="110"/>
        </w:numPr>
      </w:pPr>
      <w:r>
        <w:rPr/>
        <w:t>Surveillance</w:t>
      </w:r>
    </w:p>
    <w:p>
      <w:pPr>
        <w:numPr>
          <w:ilvl w:val="1"/>
          <w:numId w:val="60"/>
        </w:numPr>
      </w:pPr>
      <w:r>
        <w:rPr/>
        <w:t>Si persistance : examen neurologique à répétition</w:t>
      </w:r>
    </w:p>
    <w:p>
      <w:pPr>
        <w:numPr>
          <w:ilvl w:val="2"/>
          <w:numId w:val="60"/>
        </w:numPr>
      </w:pPr>
      <w:r>
        <w:rPr/>
        <w:t>Dépister les causes neurologiques</w:t>
      </w:r>
    </w:p>
    <w:p>
      <w:pPr>
        <w:numPr>
          <w:ilvl w:val="2"/>
          <w:numId w:val="60"/>
        </w:numPr>
      </w:pPr>
      <w:r>
        <w:rPr/>
        <w:t xml:space="preserve">Déconseiller : repos prolongé et vestibulopléqiques </w:t>
      </w:r>
      <w:r>
        <w:rPr>
          <w:i/>
        </w:rPr>
        <w:t>prolongés</w:t>
      </w:r>
    </w:p>
    <w:p>
      <w:pPr>
        <w:numPr>
          <w:ilvl w:val="1"/>
          <w:numId w:val="60"/>
        </w:numPr>
      </w:pPr>
      <w:r>
        <w:rPr/>
        <w:t>Examen vestibulaire : normalement, amélioration</w:t>
      </w:r>
    </w:p>
    <w:p>
      <w:pPr>
        <w:numPr>
          <w:ilvl w:val="1"/>
          <w:numId w:val="60"/>
        </w:numPr>
      </w:pPr>
      <w:r>
        <w:rPr/>
        <w:t xml:space="preserve">Explorations fonctionnelles vestibulaires : </w:t>
      </w:r>
      <w:r>
        <w:rPr/>
        <w:t>hyporéflexie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61"/>
        </w:numPr>
      </w:pPr>
      <w:r>
        <w:rPr/>
        <w:t>Grand vertige isolé durant quelques heures/jours</w:t>
      </w:r>
    </w:p>
    <w:p>
      <w:pPr>
        <w:numPr>
          <w:ilvl w:val="0"/>
          <w:numId w:val="61"/>
        </w:numPr>
      </w:pPr>
      <w:r>
        <w:rPr/>
        <w:t>Diagnostic surtout clinique</w:t>
      </w:r>
    </w:p>
    <w:p>
      <w:pPr>
        <w:numPr>
          <w:ilvl w:val="0"/>
          <w:numId w:val="61"/>
        </w:numPr>
      </w:pPr>
      <w:r>
        <w:rPr/>
        <w:t>Examen neurologique soigneux : diagnostic différentiel</w:t>
      </w:r>
    </w:p>
    <w:p>
      <w:pPr>
        <w:numPr>
          <w:ilvl w:val="0"/>
          <w:numId w:val="61"/>
        </w:numPr>
      </w:pPr>
      <w:r>
        <w:rPr/>
        <w:t>Importance de la levée précoce</w:t>
      </w:r>
    </w:p>
    <w:p>
      <w:pPr>
        <w:numPr>
          <w:ilvl w:val="0"/>
          <w:numId w:val="61"/>
        </w:numPr>
      </w:pPr>
      <w:r>
        <w:rPr/>
        <w:t>Rééducation vestibulaire : leçon de thérapeutique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