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OTITE MOYENNE AIGUE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8"/>
        </w:numPr>
      </w:pPr>
      <w:r>
        <w:rPr/>
        <w:t>Définir l’otite moyenne aiguë</w:t>
      </w:r>
    </w:p>
    <w:p>
      <w:pPr>
        <w:numPr>
          <w:ilvl w:val="0"/>
          <w:numId w:val="38"/>
        </w:numPr>
      </w:pPr>
      <w:r>
        <w:rPr/>
        <w:t>Diagnostiquer une otite moyenne aiguë</w:t>
      </w:r>
    </w:p>
    <w:p>
      <w:pPr>
        <w:numPr>
          <w:ilvl w:val="0"/>
          <w:numId w:val="38"/>
        </w:numPr>
      </w:pPr>
      <w:r>
        <w:rPr/>
        <w:t>Citer les facteurs favorisants</w:t>
      </w:r>
    </w:p>
    <w:p>
      <w:pPr>
        <w:numPr>
          <w:ilvl w:val="0"/>
          <w:numId w:val="38"/>
        </w:numPr>
      </w:pPr>
      <w:r>
        <w:rPr/>
        <w:t>Enoncer les formes cliniques</w:t>
      </w:r>
    </w:p>
    <w:p>
      <w:pPr>
        <w:numPr>
          <w:ilvl w:val="0"/>
          <w:numId w:val="38"/>
        </w:numPr>
      </w:pPr>
      <w:r>
        <w:rPr/>
        <w:t>Décrires les grandes lignes du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39"/>
        </w:numPr>
      </w:pPr>
      <w:r>
        <w:rPr/>
        <w:t>OMA : inflammation aiguë d’origine infectieuse de la muqueuse des cavités de l’oreille moyenne</w:t>
      </w:r>
    </w:p>
    <w:p>
      <w:pPr>
        <w:numPr>
          <w:ilvl w:val="0"/>
          <w:numId w:val="39"/>
        </w:numPr>
      </w:pPr>
      <w:r>
        <w:rPr/>
        <w:t>Survient au cours et au décours d’une infection respiratoire</w:t>
      </w:r>
    </w:p>
    <w:p>
      <w:pPr>
        <w:numPr>
          <w:ilvl w:val="0"/>
          <w:numId w:val="39"/>
        </w:numPr>
      </w:pPr>
      <w:r>
        <w:rPr/>
        <w:t>Pathologie de l’enfant (6 mois - 3 ans)</w:t>
      </w:r>
    </w:p>
    <w:p>
      <w:pPr>
        <w:numPr>
          <w:ilvl w:val="0"/>
          <w:numId w:val="39"/>
        </w:numPr>
      </w:pPr>
      <w:r>
        <w:rPr/>
        <w:t>Fréquente : cause de prescription d’ATB ++</w:t>
      </w:r>
    </w:p>
    <w:p>
      <w:pPr>
        <w:numPr>
          <w:ilvl w:val="0"/>
          <w:numId w:val="39"/>
        </w:numPr>
      </w:pPr>
      <w:r>
        <w:rPr/>
        <w:t>Avant 3 ans, 50% des enfants auront eu au moins 2 épisodes d’OMA</w:t>
      </w:r>
    </w:p>
    <w:p>
      <w:pPr>
        <w:numPr>
          <w:ilvl w:val="0"/>
          <w:numId w:val="39"/>
        </w:numPr>
      </w:pPr>
      <w:r>
        <w:rPr/>
        <w:t>Gravité : complications, résistance aux ATB</w:t>
      </w:r>
      <w:r>
        <w:rPr/>
        <w:br/>
      </w:r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103"/>
        </w:numPr>
      </w:pPr>
      <w:r>
        <w:rPr/>
        <w:t>DIAGNOSTIC POSITIF</w:t>
      </w:r>
    </w:p>
    <w:p>
      <w:pPr>
        <w:pStyle w:val="Heading4"/>
        <w:numPr>
          <w:ilvl w:val="0"/>
          <w:numId w:val="104"/>
        </w:numPr>
      </w:pPr>
      <w:r>
        <w:rPr/>
        <w:t>TDD : OMA du jeune enfant</w:t>
      </w:r>
    </w:p>
    <w:p>
      <w:pPr>
        <w:numPr>
          <w:ilvl w:val="1"/>
          <w:numId w:val="40"/>
        </w:numPr>
      </w:pPr>
      <w:r>
        <w:rPr/>
        <w:t>Otalgie : par paroxysme, plus ou moins violente</w:t>
      </w:r>
    </w:p>
    <w:p>
      <w:pPr>
        <w:numPr>
          <w:ilvl w:val="1"/>
          <w:numId w:val="40"/>
        </w:numPr>
      </w:pPr>
      <w:r>
        <w:rPr/>
        <w:t>Otorrhée purulente</w:t>
      </w:r>
      <w:r>
        <w:rPr/>
      </w:r>
      <w:r>
        <w:rPr/>
        <w:t xml:space="preserve"> </w:t>
      </w:r>
      <w:r>
        <w:rPr>
          <w:rFonts w:ascii="Symbol" w:hAnsi="Symbol"/>
        </w:rPr>
      </w:r>
      <w:r>
        <w:rPr/>
        <w:t xml:space="preserve"> perforation tympanique</w:t>
      </w:r>
    </w:p>
    <w:p>
      <w:pPr>
        <w:numPr>
          <w:ilvl w:val="1"/>
          <w:numId w:val="40"/>
        </w:numPr>
      </w:pPr>
      <w:r>
        <w:rPr/>
        <w:t>Enfant grognon qui se touche l’oreille</w:t>
      </w:r>
    </w:p>
    <w:p>
      <w:pPr>
        <w:numPr>
          <w:ilvl w:val="1"/>
          <w:numId w:val="40"/>
        </w:numPr>
      </w:pPr>
      <w:r>
        <w:rPr/>
        <w:t>Signes généraux : fièvre, troubles digestifs</w:t>
      </w:r>
    </w:p>
    <w:p>
      <w:pPr>
        <w:numPr>
          <w:ilvl w:val="1"/>
          <w:numId w:val="40"/>
        </w:numPr>
      </w:pPr>
      <w:r>
        <w:rPr/>
        <w:t>Troubles du comportement ou du sommeil</w:t>
      </w:r>
    </w:p>
    <w:p>
      <w:pPr>
        <w:numPr>
          <w:ilvl w:val="1"/>
          <w:numId w:val="40"/>
        </w:numPr>
      </w:pPr>
      <w:r>
        <w:rPr/>
        <w:t>Hypoacousie :  de transmission, modérée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01"/>
          </w:tcPr>
          <w:p/>
          <w:p>
            <w:pPr/>
          </w:p>
          <w:p>
            <w:pPr/>
            <w:r>
              <w:rPr/>
              <w:t>OMA congestive</w:t>
            </w:r>
          </w:p>
        </w:tc>
        <w:tc>
          <w:tcPr>
            <w:tcW w:type="dxa" w:w="3901"/>
          </w:tcPr>
          <w:p/>
          <w:p>
            <w:pPr>
              <w:numPr>
                <w:ilvl w:val="0"/>
                <w:numId w:val="41"/>
              </w:numPr>
            </w:pPr>
            <w:r>
              <w:rPr/>
              <w:t>Membrane du tympan rouge vif ou rosée</w:t>
            </w:r>
          </w:p>
          <w:p>
            <w:pPr>
              <w:numPr>
                <w:ilvl w:val="0"/>
                <w:numId w:val="41"/>
              </w:numPr>
            </w:pPr>
            <w:r>
              <w:rPr/>
              <w:t xml:space="preserve">Disparition du triangle </w:t>
            </w:r>
            <w:r>
              <w:rPr/>
              <w:t>lumineux</w:t>
            </w:r>
          </w:p>
          <w:p>
            <w:pPr>
              <w:numPr>
                <w:ilvl w:val="0"/>
                <w:numId w:val="41"/>
              </w:numPr>
            </w:pPr>
            <w:r>
              <w:rPr/>
              <w:t>Reliefs ossiculaires respectés</w:t>
            </w:r>
          </w:p>
        </w:tc>
      </w:tr>
      <w:tr>
        <w:tc>
          <w:tcPr>
            <w:tcW w:type="dxa" w:w="3901"/>
          </w:tcPr>
          <w:p/>
          <w:p>
            <w:pPr/>
          </w:p>
          <w:p>
            <w:pPr/>
            <w:r>
              <w:rPr/>
              <w:t>OMA suppurée ou collectée</w:t>
            </w:r>
          </w:p>
        </w:tc>
        <w:tc>
          <w:tcPr>
            <w:tcW w:type="dxa" w:w="3901"/>
          </w:tcPr>
          <w:p/>
          <w:p>
            <w:pPr>
              <w:numPr>
                <w:ilvl w:val="0"/>
                <w:numId w:val="42"/>
              </w:numPr>
            </w:pPr>
            <w:r>
              <w:rPr/>
              <w:t>Membrane du tympan bombante</w:t>
            </w:r>
          </w:p>
          <w:p>
            <w:pPr>
              <w:numPr>
                <w:ilvl w:val="0"/>
                <w:numId w:val="42"/>
              </w:numPr>
            </w:pPr>
            <w:r>
              <w:rPr/>
              <w:t>Disparition des reliefs ossiculaires</w:t>
            </w:r>
          </w:p>
        </w:tc>
      </w:tr>
      <w:tr>
        <w:tc>
          <w:tcPr>
            <w:tcW w:type="dxa" w:w="3901"/>
          </w:tcPr>
          <w:p/>
          <w:p>
            <w:pPr/>
          </w:p>
          <w:p>
            <w:pPr/>
            <w:r>
              <w:rPr/>
              <w:t>OMA perforée</w:t>
            </w:r>
          </w:p>
        </w:tc>
        <w:tc>
          <w:tcPr>
            <w:tcW w:type="dxa" w:w="3901"/>
          </w:tcPr>
          <w:p/>
          <w:p>
            <w:pPr>
              <w:numPr>
                <w:ilvl w:val="0"/>
                <w:numId w:val="43"/>
              </w:numPr>
            </w:pPr>
            <w:r>
              <w:rPr/>
              <w:t>Membrane du tympan rouge et perforée</w:t>
            </w:r>
          </w:p>
          <w:p>
            <w:pPr>
              <w:numPr>
                <w:ilvl w:val="0"/>
                <w:numId w:val="43"/>
              </w:numPr>
            </w:pPr>
            <w:r>
              <w:rPr/>
              <w:t>Otorrhée purulente</w:t>
            </w:r>
          </w:p>
        </w:tc>
      </w:tr>
    </w:tbl>
    <w:p>
      <w:pPr>
        <w:numPr>
          <w:ilvl w:val="1"/>
          <w:numId w:val="40"/>
        </w:numPr>
      </w:pPr>
      <w:r>
        <w:drawing>
          <wp:inline xmlns:a="http://schemas.openxmlformats.org/drawingml/2006/main" xmlns:pic="http://schemas.openxmlformats.org/drawingml/2006/picture">
            <wp:extent cx="33007300" cy="2470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0" cy="247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40"/>
        </w:numPr>
      </w:pPr>
      <w:r>
        <w:rPr/>
        <w:t>L’examen recherche :</w:t>
      </w:r>
    </w:p>
    <w:p>
      <w:pPr>
        <w:numPr>
          <w:ilvl w:val="2"/>
          <w:numId w:val="40"/>
        </w:numPr>
      </w:pPr>
      <w:r>
        <w:rPr/>
        <w:t>Une rhinopharyngite</w:t>
      </w:r>
    </w:p>
    <w:p>
      <w:pPr>
        <w:numPr>
          <w:ilvl w:val="2"/>
          <w:numId w:val="40"/>
        </w:numPr>
      </w:pPr>
      <w:r>
        <w:rPr/>
        <w:t>Les signes de complications : paralysie faciale, mastoïdite, méningite</w:t>
      </w:r>
    </w:p>
    <w:p>
      <w:pPr>
        <w:pStyle w:val="Heading4"/>
        <w:numPr>
          <w:ilvl w:val="0"/>
          <w:numId w:val="104"/>
        </w:numPr>
      </w:pPr>
      <w:r>
        <w:rPr/>
        <w:t xml:space="preserve">Formes </w:t>
      </w:r>
      <w:r>
        <w:rPr/>
        <w:t>cliniques</w:t>
      </w:r>
      <w:r>
        <w:rPr/>
        <w:t xml:space="preserve"> :</w:t>
      </w:r>
    </w:p>
    <w:p>
      <w:pPr>
        <w:pStyle w:val="Heading5"/>
        <w:numPr>
          <w:ilvl w:val="1"/>
          <w:numId w:val="98"/>
        </w:numPr>
      </w:pPr>
      <w:r>
        <w:rPr/>
        <w:t>OMA chez le nourrisson et le nouveau-né</w:t>
      </w:r>
    </w:p>
    <w:p>
      <w:pPr>
        <w:numPr>
          <w:ilvl w:val="2"/>
          <w:numId w:val="40"/>
        </w:numPr>
      </w:pPr>
      <w:r>
        <w:rPr/>
        <w:t>Habituellement bilatérale</w:t>
      </w:r>
    </w:p>
    <w:p>
      <w:pPr>
        <w:numPr>
          <w:ilvl w:val="2"/>
          <w:numId w:val="40"/>
        </w:numPr>
      </w:pPr>
      <w:r>
        <w:rPr/>
        <w:t>Otalgie : irritabilité, pleurs, main portée à l’oreille</w:t>
      </w:r>
    </w:p>
    <w:p>
      <w:pPr>
        <w:numPr>
          <w:ilvl w:val="2"/>
          <w:numId w:val="40"/>
        </w:numPr>
      </w:pPr>
      <w:r>
        <w:rPr/>
        <w:t>Digestif : vomissement, diarrhée, inappétence</w:t>
      </w:r>
    </w:p>
    <w:p>
      <w:pPr>
        <w:numPr>
          <w:ilvl w:val="2"/>
          <w:numId w:val="40"/>
        </w:numPr>
      </w:pPr>
      <w:r>
        <w:rPr/>
        <w:t>Insomnie</w:t>
      </w:r>
    </w:p>
    <w:p>
      <w:pPr>
        <w:numPr>
          <w:ilvl w:val="2"/>
          <w:numId w:val="40"/>
        </w:numPr>
      </w:pPr>
      <w:r>
        <w:rPr/>
        <w:t xml:space="preserve">Otorrhée </w:t>
      </w:r>
    </w:p>
    <w:p>
      <w:pPr>
        <w:numPr>
          <w:ilvl w:val="2"/>
          <w:numId w:val="40"/>
        </w:numPr>
      </w:pPr>
      <w:r>
        <w:rPr/>
        <w:t>Fièvre</w:t>
      </w:r>
    </w:p>
    <w:p>
      <w:pPr>
        <w:numPr>
          <w:ilvl w:val="2"/>
          <w:numId w:val="40"/>
        </w:numPr>
      </w:pPr>
      <w:r>
        <w:rPr>
          <w:b/>
        </w:rPr>
        <w:t>Otoscopie systématique</w:t>
      </w:r>
    </w:p>
    <w:p>
      <w:pPr>
        <w:pStyle w:val="Heading5"/>
        <w:numPr>
          <w:ilvl w:val="1"/>
          <w:numId w:val="98"/>
        </w:numPr>
      </w:pPr>
      <w:r>
        <w:rPr/>
        <w:t>OMA chez l’adulte</w:t>
      </w:r>
    </w:p>
    <w:p>
      <w:pPr>
        <w:numPr>
          <w:ilvl w:val="2"/>
          <w:numId w:val="40"/>
        </w:numPr>
      </w:pPr>
      <w:r>
        <w:rPr/>
        <w:t>Rare, souvent unilatéral</w:t>
      </w:r>
    </w:p>
    <w:p>
      <w:pPr>
        <w:numPr>
          <w:ilvl w:val="2"/>
          <w:numId w:val="40"/>
        </w:numPr>
      </w:pPr>
      <w:r>
        <w:rPr/>
        <w:t>Surinfection d’une otite chronique</w:t>
      </w:r>
    </w:p>
    <w:p>
      <w:pPr>
        <w:numPr>
          <w:ilvl w:val="2"/>
          <w:numId w:val="40"/>
        </w:numPr>
      </w:pPr>
      <w:r>
        <w:rPr/>
        <w:t>Hypoacousie</w:t>
      </w:r>
    </w:p>
    <w:p>
      <w:pPr>
        <w:numPr>
          <w:ilvl w:val="2"/>
          <w:numId w:val="40"/>
        </w:numPr>
      </w:pPr>
      <w:r>
        <w:rPr/>
        <w:t>Otalgie</w:t>
      </w:r>
    </w:p>
    <w:p>
      <w:pPr>
        <w:pStyle w:val="Heading5"/>
        <w:numPr>
          <w:ilvl w:val="1"/>
          <w:numId w:val="98"/>
        </w:numPr>
      </w:pPr>
      <w:r>
        <w:rPr/>
        <w:t xml:space="preserve">Otite </w:t>
      </w:r>
      <w:r>
        <w:rPr/>
        <w:t>barotraumatique</w:t>
      </w:r>
    </w:p>
    <w:p>
      <w:pPr>
        <w:numPr>
          <w:ilvl w:val="2"/>
          <w:numId w:val="40"/>
        </w:numPr>
      </w:pPr>
      <w:r>
        <w:rPr/>
        <w:t>Accident professionnel (</w:t>
      </w:r>
      <w:r>
        <w:rPr>
          <w:i/>
        </w:rPr>
        <w:t>plongée sous-marine)</w:t>
      </w:r>
    </w:p>
    <w:p>
      <w:pPr>
        <w:numPr>
          <w:ilvl w:val="2"/>
          <w:numId w:val="40"/>
        </w:numPr>
      </w:pPr>
      <w:r>
        <w:rPr/>
        <w:t>Douleur aiguë</w:t>
      </w:r>
    </w:p>
    <w:p>
      <w:pPr>
        <w:numPr>
          <w:ilvl w:val="2"/>
          <w:numId w:val="40"/>
        </w:numPr>
      </w:pPr>
      <w:r>
        <w:rPr/>
        <w:t>Epanchement séreux ou sérohématique de la caisse</w:t>
      </w:r>
    </w:p>
    <w:p>
      <w:pPr>
        <w:pStyle w:val="Heading5"/>
        <w:numPr>
          <w:ilvl w:val="1"/>
          <w:numId w:val="98"/>
        </w:numPr>
      </w:pPr>
      <w:r>
        <w:rPr/>
        <w:t xml:space="preserve">OMA </w:t>
      </w:r>
      <w:r>
        <w:rPr/>
        <w:t>nécrosante</w:t>
      </w:r>
    </w:p>
    <w:p>
      <w:pPr>
        <w:numPr>
          <w:ilvl w:val="2"/>
          <w:numId w:val="40"/>
        </w:numPr>
      </w:pPr>
      <w:r>
        <w:rPr/>
        <w:t>Rougeole et scarlatine (</w:t>
      </w:r>
      <w:r>
        <w:rPr>
          <w:i/>
        </w:rPr>
        <w:t>lésions TDD + lésions dermatologiques de rougeole et scarlatine)</w:t>
      </w:r>
    </w:p>
    <w:p>
      <w:pPr>
        <w:numPr>
          <w:ilvl w:val="2"/>
          <w:numId w:val="40"/>
        </w:numPr>
      </w:pPr>
      <w:r>
        <w:rPr/>
        <w:t xml:space="preserve">Douleur et signes généraux </w:t>
      </w:r>
    </w:p>
    <w:p>
      <w:pPr>
        <w:pStyle w:val="Heading5"/>
        <w:numPr>
          <w:ilvl w:val="1"/>
          <w:numId w:val="98"/>
        </w:numPr>
      </w:pPr>
      <w:r>
        <w:rPr/>
        <w:t xml:space="preserve">Otite </w:t>
      </w:r>
      <w:r>
        <w:rPr/>
        <w:t>phlycténulaire</w:t>
      </w:r>
      <w:r>
        <w:rPr/>
        <w:t xml:space="preserve"> :</w:t>
      </w:r>
    </w:p>
    <w:p>
      <w:pPr>
        <w:numPr>
          <w:ilvl w:val="2"/>
          <w:numId w:val="40"/>
        </w:numPr>
      </w:pPr>
      <w:r>
        <w:rPr/>
        <w:t>Très douloureuse</w:t>
      </w:r>
    </w:p>
    <w:p>
      <w:pPr>
        <w:numPr>
          <w:ilvl w:val="2"/>
          <w:numId w:val="40"/>
        </w:numPr>
      </w:pPr>
      <w:r>
        <w:rPr/>
        <w:t>Otorragie : phlyctène hémorragique du tympan</w:t>
      </w:r>
      <w:r>
        <w:rPr/>
        <w:br/>
      </w:r>
    </w:p>
    <w:p>
      <w:pPr>
        <w:numPr>
          <w:ilvl w:val="2"/>
          <w:numId w:val="40"/>
        </w:numPr>
      </w:pPr>
      <w:r>
        <w:rPr>
          <w:b/>
        </w:rPr>
        <w:t>OTOSCOPIE</w:t>
      </w:r>
    </w:p>
    <w:p>
      <w:pPr>
        <w:pStyle w:val="Heading5"/>
        <w:numPr>
          <w:ilvl w:val="1"/>
          <w:numId w:val="98"/>
        </w:numPr>
      </w:pPr>
      <w:r>
        <w:rPr/>
        <w:t>COMPLICATIONS</w:t>
      </w:r>
      <w:r>
        <w:rPr/>
        <w:t xml:space="preserve"> :</w:t>
      </w:r>
    </w:p>
    <w:p>
      <w:pPr>
        <w:numPr>
          <w:ilvl w:val="2"/>
          <w:numId w:val="40"/>
        </w:numPr>
      </w:pPr>
      <w:r>
        <w:rPr/>
        <w:t>Mastoïdite</w:t>
      </w:r>
    </w:p>
    <w:p>
      <w:pPr>
        <w:numPr>
          <w:ilvl w:val="2"/>
          <w:numId w:val="40"/>
        </w:numPr>
      </w:pPr>
      <w:r>
        <w:rPr/>
        <w:t>Labyrinthite(</w:t>
      </w:r>
      <w:r>
        <w:rPr>
          <w:i/>
        </w:rPr>
        <w:t>évolution en absence de traitement de toute OMA)</w:t>
      </w:r>
    </w:p>
    <w:p>
      <w:pPr>
        <w:numPr>
          <w:ilvl w:val="2"/>
          <w:numId w:val="40"/>
        </w:numPr>
      </w:pPr>
      <w:r>
        <w:rPr/>
        <w:t>Paralysie faciale</w:t>
      </w:r>
    </w:p>
    <w:p>
      <w:pPr>
        <w:numPr>
          <w:ilvl w:val="2"/>
          <w:numId w:val="40"/>
        </w:numPr>
      </w:pPr>
      <w:r>
        <w:rPr/>
        <w:t>Méningite</w:t>
      </w:r>
    </w:p>
    <w:p>
      <w:pPr>
        <w:numPr>
          <w:ilvl w:val="2"/>
          <w:numId w:val="40"/>
        </w:numPr>
      </w:pPr>
      <w:r>
        <w:rPr/>
        <w:t>Abcès</w:t>
      </w:r>
    </w:p>
    <w:p>
      <w:pPr>
        <w:numPr>
          <w:ilvl w:val="2"/>
          <w:numId w:val="40"/>
        </w:numPr>
      </w:pPr>
      <w:r>
        <w:rPr/>
        <w:t>Encéphalite</w:t>
      </w:r>
    </w:p>
    <w:p>
      <w:pPr>
        <w:numPr>
          <w:ilvl w:val="2"/>
          <w:numId w:val="40"/>
        </w:numPr>
      </w:pPr>
      <w:r>
        <w:rPr/>
        <w:t>OSM</w:t>
      </w:r>
    </w:p>
    <w:p>
      <w:pPr>
        <w:numPr>
          <w:ilvl w:val="2"/>
          <w:numId w:val="40"/>
        </w:numPr>
      </w:pPr>
      <w:r>
        <w:rPr/>
        <w:t>Otite récidivante : VA, allergie, RGO, déficit en fer</w:t>
      </w:r>
    </w:p>
    <w:p>
      <w:pPr>
        <w:numPr>
          <w:ilvl w:val="2"/>
          <w:numId w:val="40"/>
        </w:numPr>
      </w:pPr>
      <w:r>
        <w:rPr/>
        <w:t>Thrombophlébite</w:t>
      </w:r>
    </w:p>
    <w:p>
      <w:pPr/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44"/>
        </w:numPr>
      </w:pPr>
      <w:r>
        <w:rPr>
          <w:b/>
        </w:rPr>
        <w:t>FACTEURS FAVORISANTS :</w:t>
      </w:r>
    </w:p>
    <w:p>
      <w:pPr>
        <w:numPr>
          <w:ilvl w:val="1"/>
          <w:numId w:val="44"/>
        </w:numPr>
      </w:pPr>
      <w:r>
        <w:rPr/>
        <w:t>Rhinopharyngite (dysfonctionnement tubaire, VA)</w:t>
      </w:r>
    </w:p>
    <w:p>
      <w:pPr>
        <w:numPr>
          <w:ilvl w:val="1"/>
          <w:numId w:val="44"/>
        </w:numPr>
      </w:pPr>
      <w:r>
        <w:rPr/>
        <w:t>Crèche collective</w:t>
      </w:r>
    </w:p>
    <w:p>
      <w:pPr>
        <w:numPr>
          <w:ilvl w:val="1"/>
          <w:numId w:val="44"/>
        </w:numPr>
      </w:pPr>
      <w:r>
        <w:rPr/>
        <w:t>Condition socio-économiques précaire</w:t>
      </w:r>
    </w:p>
    <w:p>
      <w:pPr>
        <w:numPr>
          <w:ilvl w:val="1"/>
          <w:numId w:val="44"/>
        </w:numPr>
      </w:pPr>
      <w:r>
        <w:rPr/>
        <w:t>ATCD familiaux, tabagisme passif, infection virale</w:t>
      </w:r>
    </w:p>
    <w:p>
      <w:pPr>
        <w:numPr>
          <w:ilvl w:val="0"/>
          <w:numId w:val="44"/>
        </w:numPr>
      </w:pPr>
      <w:r>
        <w:rPr>
          <w:b/>
        </w:rPr>
        <w:t>GERMES :</w:t>
      </w:r>
      <w:r>
        <w:rPr/>
        <w:t xml:space="preserve"> </w:t>
      </w:r>
    </w:p>
    <w:p>
      <w:pPr>
        <w:numPr>
          <w:ilvl w:val="1"/>
          <w:numId w:val="44"/>
        </w:numPr>
      </w:pPr>
      <w:r>
        <w:rPr>
          <w:b/>
          <w:i/>
        </w:rPr>
        <w:t xml:space="preserve">Haemophilus influenzae, </w:t>
      </w:r>
      <w:r>
        <w:rPr>
          <w:b/>
        </w:rPr>
        <w:t>pneumocoque, Moraxella Catarrhalis</w:t>
      </w:r>
      <w:r>
        <w:rPr/>
      </w:r>
    </w:p>
    <w:p>
      <w:pPr>
        <w:numPr>
          <w:ilvl w:val="1"/>
          <w:numId w:val="44"/>
        </w:numPr>
      </w:pPr>
      <w:r>
        <w:rPr/>
        <w:t xml:space="preserve">Rare : </w:t>
      </w:r>
      <w:r>
        <w:rPr>
          <w:i/>
        </w:rPr>
        <w:t xml:space="preserve">Staphylococcus aureus, </w:t>
      </w:r>
      <w:r>
        <w:rPr/>
        <w:t>streptocoque hémolytique du groupe A, Pseudomonas aeruginosa, entérobactéries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45"/>
        </w:numPr>
      </w:pPr>
      <w:r>
        <w:rPr/>
        <w:t xml:space="preserve">Otalgie et otorrhée : </w:t>
      </w:r>
      <w:r>
        <w:rPr>
          <w:i/>
        </w:rPr>
        <w:t>aspect de la membrane tympanique et calibre du MAE</w:t>
      </w:r>
    </w:p>
    <w:p>
      <w:pPr>
        <w:numPr>
          <w:ilvl w:val="1"/>
          <w:numId w:val="45"/>
        </w:numPr>
      </w:pPr>
      <w:r>
        <w:rPr/>
        <w:t>Otite externe</w:t>
      </w:r>
    </w:p>
    <w:p>
      <w:pPr>
        <w:numPr>
          <w:ilvl w:val="1"/>
          <w:numId w:val="45"/>
        </w:numPr>
      </w:pPr>
      <w:r>
        <w:rPr/>
        <w:t xml:space="preserve">Myringite aiguë : </w:t>
      </w:r>
      <w:r>
        <w:rPr>
          <w:i/>
        </w:rPr>
        <w:t>inflammation de la membrane tympanique (couleur rouge)</w:t>
      </w:r>
    </w:p>
    <w:p>
      <w:pPr>
        <w:numPr>
          <w:ilvl w:val="1"/>
          <w:numId w:val="45"/>
        </w:numPr>
      </w:pPr>
      <w:r>
        <w:rPr/>
        <w:t>Otite séreuse (= otite séro-muqueuse) (</w:t>
      </w:r>
      <w:r>
        <w:rPr>
          <w:i/>
        </w:rPr>
        <w:t>relief osseux présent mais il y a du liquide qui coule derrière la membrane tympanique)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105"/>
        </w:numPr>
      </w:pPr>
      <w:r>
        <w:rPr/>
        <w:t>BUTS :</w:t>
      </w:r>
    </w:p>
    <w:p>
      <w:pPr>
        <w:numPr>
          <w:ilvl w:val="1"/>
          <w:numId w:val="46"/>
        </w:numPr>
      </w:pPr>
      <w:r>
        <w:rPr/>
        <w:t>Soulager le patient</w:t>
      </w:r>
    </w:p>
    <w:p>
      <w:pPr>
        <w:numPr>
          <w:ilvl w:val="1"/>
          <w:numId w:val="46"/>
        </w:numPr>
      </w:pPr>
      <w:r>
        <w:rPr/>
        <w:t>Éradiquer les germes responsables</w:t>
      </w:r>
    </w:p>
    <w:p>
      <w:pPr>
        <w:numPr>
          <w:ilvl w:val="1"/>
          <w:numId w:val="46"/>
        </w:numPr>
      </w:pPr>
      <w:r>
        <w:rPr/>
        <w:t>Prévenir les récidives et les complications</w:t>
      </w:r>
    </w:p>
    <w:p>
      <w:pPr>
        <w:pStyle w:val="Heading3"/>
        <w:numPr>
          <w:ilvl w:val="0"/>
          <w:numId w:val="105"/>
        </w:numPr>
      </w:pPr>
      <w:r>
        <w:rPr/>
        <w:t>MOYENS</w:t>
      </w:r>
      <w:r>
        <w:rPr/>
        <w:t xml:space="preserve"> :</w:t>
      </w:r>
    </w:p>
    <w:p>
      <w:pPr>
        <w:numPr>
          <w:ilvl w:val="1"/>
          <w:numId w:val="46"/>
        </w:numPr>
      </w:pPr>
      <w:r>
        <w:rPr/>
        <w:t>Antalgiques - antipyrétique</w:t>
      </w:r>
    </w:p>
    <w:p>
      <w:pPr>
        <w:numPr>
          <w:ilvl w:val="1"/>
          <w:numId w:val="46"/>
        </w:numPr>
      </w:pPr>
      <w:r>
        <w:rPr/>
        <w:t>Soins locaux</w:t>
      </w:r>
    </w:p>
    <w:p>
      <w:pPr>
        <w:numPr>
          <w:ilvl w:val="1"/>
          <w:numId w:val="46"/>
        </w:numPr>
      </w:pPr>
      <w:r>
        <w:rPr/>
        <w:t>DRP - décongestionnant</w:t>
      </w:r>
    </w:p>
    <w:p>
      <w:pPr>
        <w:numPr>
          <w:ilvl w:val="1"/>
          <w:numId w:val="46"/>
        </w:numPr>
      </w:pPr>
      <w:r>
        <w:rPr/>
        <w:t xml:space="preserve">Antibiotiques : amoxicilline, Amoxiclav, C3G (durée : </w:t>
      </w:r>
      <w:r>
        <w:rPr>
          <w:b/>
        </w:rPr>
        <w:t>8-10 jours</w:t>
      </w:r>
      <w:r>
        <w:rPr/>
        <w:t>)</w:t>
      </w:r>
    </w:p>
    <w:p>
      <w:pPr>
        <w:numPr>
          <w:ilvl w:val="1"/>
          <w:numId w:val="46"/>
        </w:numPr>
      </w:pPr>
      <w:r>
        <w:rPr/>
        <w:t>Paracentèse</w:t>
      </w:r>
      <w:r>
        <w:rPr/>
      </w:r>
      <w:r>
        <w:rPr/>
        <w:t xml:space="preserve"> : prélèvement - traitement </w:t>
      </w:r>
    </w:p>
    <w:p>
      <w:pPr>
        <w:pStyle w:val="Heading3"/>
        <w:numPr>
          <w:ilvl w:val="0"/>
          <w:numId w:val="105"/>
        </w:numPr>
      </w:pPr>
      <w:r>
        <w:rPr/>
        <w:t>INDICATIONS</w:t>
      </w:r>
    </w:p>
    <w:p>
      <w:pPr>
        <w:numPr>
          <w:ilvl w:val="1"/>
          <w:numId w:val="46"/>
        </w:numPr>
      </w:pPr>
      <w:r>
        <w:rPr/>
        <w:t>Dépend du stade de l’OMA :</w:t>
      </w:r>
    </w:p>
    <w:p>
      <w:pPr>
        <w:numPr>
          <w:ilvl w:val="2"/>
          <w:numId w:val="46"/>
        </w:numPr>
      </w:pPr>
      <w:r>
        <w:rPr/>
        <w:t>Congestive : pas d’ATB, antalgique</w:t>
      </w:r>
    </w:p>
    <w:p>
      <w:pPr>
        <w:numPr>
          <w:ilvl w:val="2"/>
          <w:numId w:val="46"/>
        </w:numPr>
      </w:pPr>
      <w:r>
        <w:rPr/>
        <w:t>Collectée : ATB par voie générale</w:t>
      </w:r>
    </w:p>
    <w:p>
      <w:pPr>
        <w:numPr>
          <w:ilvl w:val="2"/>
          <w:numId w:val="46"/>
        </w:numPr>
      </w:pPr>
      <w:r>
        <w:rPr/>
        <w:t>Perforée : soins locaux, ATB général, ATB local</w:t>
      </w:r>
    </w:p>
    <w:p>
      <w:pPr>
        <w:numPr>
          <w:ilvl w:val="1"/>
          <w:numId w:val="46"/>
        </w:numPr>
      </w:pPr>
      <w:r>
        <w:rPr/>
        <w:t>Paracentèse : chez le nourrisson moins de 3 mois, hyperalgique ou hyperfébrile, échec du traitement antibiotique, formes compliquées</w:t>
      </w:r>
    </w:p>
    <w:p>
      <w:pPr>
        <w:numPr>
          <w:ilvl w:val="1"/>
          <w:numId w:val="46"/>
        </w:numPr>
      </w:pPr>
      <w:r>
        <w:rPr/>
        <w:t>DRP, antalgique, antipyrétique (systématique)</w:t>
      </w:r>
    </w:p>
    <w:p>
      <w:pPr>
        <w:pStyle w:val="Heading3"/>
        <w:numPr>
          <w:ilvl w:val="0"/>
          <w:numId w:val="105"/>
        </w:numPr>
      </w:pPr>
      <w:r>
        <w:rPr/>
        <w:t xml:space="preserve">RESULTATS ET </w:t>
      </w:r>
      <w:r>
        <w:rPr/>
        <w:t>PRONOS</w:t>
      </w:r>
      <w:r>
        <w:rPr>
          <w:b w:val="0"/>
        </w:rPr>
        <w:t>T</w:t>
      </w:r>
      <w:r>
        <w:rPr/>
        <w:t>IC</w:t>
      </w:r>
    </w:p>
    <w:p>
      <w:pPr>
        <w:numPr>
          <w:ilvl w:val="1"/>
          <w:numId w:val="46"/>
        </w:numPr>
      </w:pPr>
      <w:r>
        <w:rPr/>
        <w:t>Majorité de cas favorable : critère de guérison :</w:t>
      </w:r>
    </w:p>
    <w:p>
      <w:pPr>
        <w:numPr>
          <w:ilvl w:val="2"/>
          <w:numId w:val="46"/>
        </w:numPr>
      </w:pPr>
      <w:r>
        <w:rPr/>
        <w:t>Disparition des signes généraux (48h-5j)</w:t>
      </w:r>
    </w:p>
    <w:p>
      <w:pPr>
        <w:numPr>
          <w:ilvl w:val="2"/>
          <w:numId w:val="46"/>
        </w:numPr>
      </w:pPr>
      <w:r>
        <w:rPr/>
        <w:t>Disparition de l’otorrhée ou de la douleur (48h-5j)</w:t>
      </w:r>
    </w:p>
    <w:p>
      <w:pPr>
        <w:numPr>
          <w:ilvl w:val="2"/>
          <w:numId w:val="46"/>
        </w:numPr>
      </w:pPr>
      <w:r>
        <w:rPr/>
        <w:t>Normalisation du tympan (8j)</w:t>
      </w:r>
    </w:p>
    <w:p>
      <w:pPr>
        <w:numPr>
          <w:ilvl w:val="1"/>
          <w:numId w:val="46"/>
        </w:numPr>
      </w:pPr>
      <w:r>
        <w:rPr/>
        <w:t>Echec : suspecter PSDP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47"/>
        </w:numPr>
      </w:pPr>
      <w:r>
        <w:rPr/>
        <w:t>OMA :</w:t>
      </w:r>
    </w:p>
    <w:p>
      <w:pPr>
        <w:numPr>
          <w:ilvl w:val="1"/>
          <w:numId w:val="47"/>
        </w:numPr>
      </w:pPr>
      <w:r>
        <w:rPr/>
        <w:t>Fréquente chez l’enfant (6 mois - 3 ans)</w:t>
      </w:r>
    </w:p>
    <w:p>
      <w:pPr>
        <w:numPr>
          <w:ilvl w:val="1"/>
          <w:numId w:val="47"/>
        </w:numPr>
      </w:pPr>
      <w:r>
        <w:rPr/>
        <w:t>Virale et congestive le plus souvent, pouvant ne pas justifier un traitement antibiotique</w:t>
      </w:r>
    </w:p>
    <w:p>
      <w:pPr>
        <w:numPr>
          <w:ilvl w:val="1"/>
          <w:numId w:val="47"/>
        </w:numPr>
      </w:pPr>
      <w:r>
        <w:rPr/>
        <w:t>Évolution spontanée : favorable</w:t>
      </w:r>
    </w:p>
    <w:p>
      <w:pPr>
        <w:numPr>
          <w:ilvl w:val="1"/>
          <w:numId w:val="47"/>
        </w:numPr>
      </w:pPr>
      <w:r>
        <w:rPr/>
        <w:t>Rare : complications</w:t>
      </w:r>
    </w:p>
    <w:p>
      <w:pPr>
        <w:numPr>
          <w:ilvl w:val="1"/>
          <w:numId w:val="47"/>
        </w:numPr>
      </w:pPr>
      <w:r>
        <w:rPr/>
        <w:t>Facteurs favorisants</w:t>
      </w:r>
      <w:r>
        <w:rPr/>
        <w:t xml:space="preserve"> : rhinopharyngite et VA chez l’enfant</w:t>
      </w:r>
    </w:p>
    <w:p>
      <w:pPr>
        <w:numPr>
          <w:ilvl w:val="2"/>
          <w:numId w:val="47"/>
        </w:numPr>
      </w:pPr>
      <w:r>
        <w:rPr/>
        <w:t>Dysfonctionnement tubaire chez l’adulte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