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OTITE MOYENNE CHRONIQUE </w:t>
      </w:r>
      <w:r>
        <w:rPr/>
        <w:t>CHOLESTEATOMATEUSE (</w:t>
      </w:r>
      <w:r>
        <w:rPr/>
        <w:t xml:space="preserve">OMCC ou </w:t>
      </w:r>
      <w:r>
        <w:rPr/>
        <w:t>OMCD :</w:t>
      </w:r>
      <w:r>
        <w:rPr/>
        <w:t xml:space="preserve"> OTITE MOYENNE CHRONIQUE DANGEREUSE)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85"/>
        </w:numPr>
      </w:pPr>
      <w:r>
        <w:rPr/>
        <w:t>Définir l’OMCC</w:t>
      </w:r>
    </w:p>
    <w:p>
      <w:pPr>
        <w:numPr>
          <w:ilvl w:val="0"/>
          <w:numId w:val="85"/>
        </w:numPr>
      </w:pPr>
      <w:r>
        <w:rPr/>
        <w:t>Diagnostiquer l’OMCC</w:t>
      </w:r>
    </w:p>
    <w:p>
      <w:pPr>
        <w:numPr>
          <w:ilvl w:val="0"/>
          <w:numId w:val="85"/>
        </w:numPr>
      </w:pPr>
      <w:r>
        <w:rPr/>
        <w:t>Connaitre les complications</w:t>
      </w:r>
    </w:p>
    <w:p>
      <w:pPr>
        <w:numPr>
          <w:ilvl w:val="0"/>
          <w:numId w:val="84"/>
        </w:numPr>
      </w:pPr>
      <w:r>
        <w:rPr/>
        <w:t>Décrire les grandes lignes de traitement</w:t>
      </w:r>
    </w:p>
    <w:p>
      <w:pPr/>
    </w:p>
    <w:p>
      <w:pPr>
        <w:pStyle w:val="Heading2"/>
      </w:pPr>
      <w:r>
        <w:rPr/>
        <w:t>INTRODUCTION</w:t>
      </w:r>
    </w:p>
    <w:p>
      <w:pPr/>
      <w:r>
        <w:rPr>
          <w:b/>
        </w:rPr>
        <w:t xml:space="preserve">OMCC : </w:t>
      </w:r>
      <w:r>
        <w:rPr/>
        <w:t xml:space="preserve">Présence au sein des cavités de l’oreille moyenne d’un épithélium malpighien kératinisé (peau) doué de potentialités extensive, invasive et </w:t>
      </w:r>
      <w:r>
        <w:rPr/>
        <w:t>lytique(</w:t>
      </w:r>
      <w:r>
        <w:rPr>
          <w:i/>
        </w:rPr>
        <w:t>lyse des osselets)</w:t>
      </w:r>
    </w:p>
    <w:p>
      <w:pPr>
        <w:numPr>
          <w:ilvl w:val="0"/>
          <w:numId w:val="86"/>
        </w:numPr>
      </w:pPr>
      <w:r>
        <w:rPr/>
        <w:t>Dangereuse, complications sévères (endocrâniens)</w:t>
      </w:r>
    </w:p>
    <w:p>
      <w:pPr>
        <w:numPr>
          <w:ilvl w:val="0"/>
          <w:numId w:val="86"/>
        </w:numPr>
      </w:pPr>
      <w:r>
        <w:rPr/>
        <w:t>Prévalence : 1/3 des otites chroniques à tympan ouvert</w:t>
      </w:r>
    </w:p>
    <w:p>
      <w:pPr>
        <w:numPr>
          <w:ilvl w:val="0"/>
          <w:numId w:val="86"/>
        </w:numPr>
      </w:pPr>
      <w:r>
        <w:rPr/>
        <w:t>Urgence : diagnostique et thérapeutique</w:t>
      </w:r>
    </w:p>
    <w:p>
      <w:pPr>
        <w:numPr>
          <w:ilvl w:val="0"/>
          <w:numId w:val="86"/>
        </w:numPr>
      </w:pPr>
      <w:r>
        <w:rPr/>
        <w:t>Pathogénie : reste à élucider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  <w:numPr>
          <w:ilvl w:val="0"/>
          <w:numId w:val="117"/>
        </w:numPr>
      </w:pPr>
      <w:r>
        <w:rPr/>
        <w:t>TDD : OMCC unilatérale acquise non compliquée</w:t>
      </w:r>
    </w:p>
    <w:p>
      <w:pPr>
        <w:numPr>
          <w:ilvl w:val="1"/>
          <w:numId w:val="87"/>
        </w:numPr>
      </w:pPr>
      <w:r>
        <w:rPr>
          <w:b/>
        </w:rPr>
        <w:t xml:space="preserve">Otorrhée : </w:t>
      </w:r>
      <w:r>
        <w:rPr/>
        <w:t>purulente, jaunatre/verdatre, fétide, abondance variable, intermittente et résistante aux traitements médicaux</w:t>
      </w:r>
    </w:p>
    <w:p>
      <w:pPr>
        <w:numPr>
          <w:ilvl w:val="1"/>
          <w:numId w:val="87"/>
        </w:numPr>
      </w:pPr>
      <w:r>
        <w:rPr>
          <w:b/>
        </w:rPr>
        <w:t>Hypoacousie :</w:t>
      </w:r>
      <w:r>
        <w:rPr/>
        <w:t xml:space="preserve"> transmission</w:t>
      </w:r>
    </w:p>
    <w:p>
      <w:pPr>
        <w:numPr>
          <w:ilvl w:val="1"/>
          <w:numId w:val="87"/>
        </w:numPr>
      </w:pPr>
      <w:r>
        <w:rPr>
          <w:b/>
        </w:rPr>
        <w:t>Otalgie :</w:t>
      </w:r>
      <w:r>
        <w:rPr/>
        <w:t xml:space="preserve"> réchauffement</w:t>
      </w:r>
      <w:r>
        <w:rPr/>
      </w:r>
    </w:p>
    <w:p>
      <w:pPr>
        <w:numPr>
          <w:ilvl w:val="1"/>
          <w:numId w:val="87"/>
        </w:numPr>
      </w:pPr>
      <w:r>
        <w:rPr>
          <w:b/>
        </w:rPr>
        <w:t>Otorragie</w:t>
      </w:r>
      <w:r>
        <w:rPr/>
      </w:r>
      <w:r>
        <w:rPr>
          <w:b/>
        </w:rPr>
        <w:t xml:space="preserve">, acouphène </w:t>
      </w:r>
    </w:p>
    <w:p>
      <w:pPr>
        <w:numPr>
          <w:ilvl w:val="1"/>
          <w:numId w:val="87"/>
        </w:numPr>
      </w:pPr>
      <w:r>
        <w:rPr>
          <w:b/>
        </w:rPr>
        <w:t>Otoscopie (</w:t>
      </w:r>
      <w:r>
        <w:rPr/>
        <w:t>après aspiration) : perforation marginale + poche de rétraction, squames épidermiques blanchâtre</w:t>
      </w:r>
    </w:p>
    <w:p>
      <w:pPr>
        <w:numPr>
          <w:ilvl w:val="1"/>
          <w:numId w:val="87"/>
        </w:numPr>
      </w:pPr>
      <w:r>
        <w:rPr>
          <w:b/>
        </w:rPr>
        <w:t xml:space="preserve">Acoumétrie : </w:t>
      </w:r>
      <w:r>
        <w:rPr/>
        <w:t>surdité de transmission</w:t>
      </w:r>
    </w:p>
    <w:p>
      <w:pPr>
        <w:numPr>
          <w:ilvl w:val="1"/>
          <w:numId w:val="87"/>
        </w:numPr>
      </w:pPr>
      <w:r>
        <w:rPr>
          <w:b/>
        </w:rPr>
        <w:t xml:space="preserve">Examen ORL complet : </w:t>
      </w:r>
      <w:r>
        <w:rPr/>
        <w:t>cf signes de complications</w:t>
      </w:r>
    </w:p>
    <w:p>
      <w:pPr>
        <w:numPr>
          <w:ilvl w:val="1"/>
          <w:numId w:val="87"/>
        </w:numPr>
      </w:pPr>
      <w:r>
        <w:drawing>
          <wp:inline xmlns:a="http://schemas.openxmlformats.org/drawingml/2006/main" xmlns:pic="http://schemas.openxmlformats.org/drawingml/2006/picture">
            <wp:extent cx="11785600" cy="1188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0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87"/>
        </w:numPr>
      </w:pPr>
      <w:r>
        <w:drawing>
          <wp:inline xmlns:a="http://schemas.openxmlformats.org/drawingml/2006/main" xmlns:pic="http://schemas.openxmlformats.org/drawingml/2006/picture">
            <wp:extent cx="21196300" cy="15862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0" cy="1586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87"/>
        </w:numPr>
      </w:pPr>
      <w:r>
        <w:rPr/>
        <w:t>Audiométrie tonale : ST, SM</w:t>
      </w:r>
      <w:r>
        <w:rPr/>
        <w:t xml:space="preserve"> </w:t>
      </w:r>
      <w:r>
        <w:rPr/>
        <w:t>(</w:t>
      </w:r>
      <w:r>
        <w:rPr>
          <w:i/>
        </w:rPr>
        <w:t>surdité mixte car atteinte OM et OI)</w:t>
      </w:r>
      <w:r>
        <w:rPr/>
        <w:t>, cophose (</w:t>
      </w:r>
      <w:r>
        <w:rPr>
          <w:i/>
        </w:rPr>
        <w:t>surdité totale, profonde)</w:t>
      </w:r>
    </w:p>
    <w:p>
      <w:pPr>
        <w:numPr>
          <w:ilvl w:val="1"/>
          <w:numId w:val="87"/>
        </w:numPr>
      </w:pPr>
      <w:r>
        <w:rPr>
          <w:b/>
        </w:rPr>
        <w:t xml:space="preserve">TDM du rocher : </w:t>
      </w:r>
      <w:r>
        <w:rPr/>
        <w:t>bilan lésionnel, cf complications, guide la chirurgie, cf lyse des osselets (</w:t>
      </w:r>
      <w:r>
        <w:rPr>
          <w:i/>
        </w:rPr>
        <w:t>scanner du rocher en coupe infra-millimétrique)</w:t>
      </w:r>
    </w:p>
    <w:p>
      <w:pPr>
        <w:numPr>
          <w:ilvl w:val="1"/>
          <w:numId w:val="87"/>
        </w:numPr>
      </w:pPr>
      <w:r>
        <w:rPr/>
        <w:t>IRM du rocher : cf labyrinthique, choléstéatomes résiduels ou récidivant</w:t>
      </w:r>
    </w:p>
    <w:p>
      <w:pPr>
        <w:pStyle w:val="Heading4"/>
        <w:numPr>
          <w:ilvl w:val="0"/>
          <w:numId w:val="117"/>
        </w:numPr>
      </w:pPr>
      <w:r>
        <w:rPr/>
        <w:t xml:space="preserve">Formes cliniques </w:t>
      </w:r>
    </w:p>
    <w:p>
      <w:pPr>
        <w:numPr>
          <w:ilvl w:val="1"/>
          <w:numId w:val="87"/>
        </w:numPr>
      </w:pPr>
      <w:r>
        <w:rPr>
          <w:b/>
        </w:rPr>
        <w:t xml:space="preserve">Selon les aspects </w:t>
      </w:r>
      <w:r>
        <w:rPr>
          <w:b/>
        </w:rPr>
        <w:t>otoscopiques</w:t>
      </w:r>
      <w:r>
        <w:rPr/>
      </w:r>
    </w:p>
    <w:p>
      <w:pPr>
        <w:numPr>
          <w:ilvl w:val="2"/>
          <w:numId w:val="87"/>
        </w:numPr>
      </w:pPr>
      <w:r>
        <w:rPr/>
        <w:t>Cholestéatome épitympanique atticale (</w:t>
      </w:r>
      <w:r>
        <w:rPr>
          <w:i/>
        </w:rPr>
        <w:t>en ht et post)</w:t>
      </w:r>
    </w:p>
    <w:p>
      <w:pPr>
        <w:numPr>
          <w:ilvl w:val="2"/>
          <w:numId w:val="87"/>
        </w:numPr>
      </w:pPr>
      <w:r>
        <w:rPr/>
        <w:t>Cholestéatome postéro-supérieur</w:t>
      </w:r>
    </w:p>
    <w:p>
      <w:pPr>
        <w:numPr>
          <w:ilvl w:val="2"/>
          <w:numId w:val="87"/>
        </w:numPr>
      </w:pPr>
      <w:r>
        <w:rPr/>
        <w:t>Cholestéatome mésotympanique</w:t>
      </w:r>
    </w:p>
    <w:p>
      <w:pPr>
        <w:numPr>
          <w:ilvl w:val="2"/>
          <w:numId w:val="87"/>
        </w:numPr>
      </w:pPr>
      <w:r>
        <w:rPr/>
        <w:t>Cholestéatome pseudo-tumorale</w:t>
      </w:r>
    </w:p>
    <w:p>
      <w:pPr>
        <w:numPr>
          <w:ilvl w:val="2"/>
          <w:numId w:val="87"/>
        </w:numPr>
      </w:pPr>
      <w:r>
        <w:rPr/>
        <w:t>Cholestéatome à tympan fermé</w:t>
      </w:r>
    </w:p>
    <w:p>
      <w:pPr>
        <w:numPr>
          <w:ilvl w:val="3"/>
          <w:numId w:val="87"/>
        </w:numPr>
      </w:pPr>
      <w:r>
        <w:rPr/>
        <w:t>FDR : trisomie 21, fente vélaire, malformation cranio-faciale</w:t>
      </w:r>
    </w:p>
    <w:p>
      <w:pPr>
        <w:numPr>
          <w:ilvl w:val="1"/>
          <w:numId w:val="87"/>
        </w:numPr>
      </w:pPr>
      <w:r>
        <w:rPr>
          <w:b/>
        </w:rPr>
        <w:t>Choléstéatome bilatéral :</w:t>
      </w:r>
      <w:r>
        <w:rPr/>
        <w:t xml:space="preserve"> adulte+++, acquis</w:t>
      </w:r>
    </w:p>
    <w:p>
      <w:pPr>
        <w:numPr>
          <w:ilvl w:val="1"/>
          <w:numId w:val="87"/>
        </w:numPr>
      </w:pPr>
      <w:r>
        <w:rPr>
          <w:b/>
        </w:rPr>
        <w:t>Cholestéatome post-traumatique</w:t>
      </w:r>
      <w:r>
        <w:rPr/>
        <w:t xml:space="preserve"> (</w:t>
      </w:r>
      <w:r>
        <w:rPr>
          <w:i/>
        </w:rPr>
        <w:t xml:space="preserve">peau à l’extérieur incarcéré dans la cavité de l’oreille </w:t>
      </w:r>
      <w:r>
        <w:rPr>
          <w:i/>
        </w:rPr>
        <w:t>moyenne )</w:t>
      </w:r>
    </w:p>
    <w:p>
      <w:pPr>
        <w:numPr>
          <w:ilvl w:val="1"/>
          <w:numId w:val="87"/>
        </w:numPr>
      </w:pPr>
      <w:r>
        <w:rPr>
          <w:b/>
        </w:rPr>
        <w:t>Cholestéatome du méat acoustique externe</w:t>
      </w:r>
    </w:p>
    <w:p>
      <w:pPr>
        <w:ind w:left="360"/>
      </w:pPr>
    </w:p>
    <w:p>
      <w:pPr>
        <w:pStyle w:val="Heading3"/>
      </w:pPr>
      <w:r>
        <w:rPr/>
        <w:t>DIAGNOSTIC ETIOLOGIQUE</w:t>
      </w:r>
    </w:p>
    <w:p>
      <w:pPr>
        <w:pStyle w:val="Heading4"/>
      </w:pPr>
      <w:r>
        <w:rPr/>
        <w:t>Théories étiopathogéniques</w:t>
      </w:r>
    </w:p>
    <w:p>
      <w:pPr>
        <w:numPr>
          <w:ilvl w:val="1"/>
          <w:numId w:val="88"/>
        </w:numPr>
      </w:pPr>
      <w:r>
        <w:rPr>
          <w:b/>
        </w:rPr>
        <w:t>Métaplasie épithéliale :</w:t>
      </w:r>
    </w:p>
    <w:p>
      <w:pPr>
        <w:numPr>
          <w:ilvl w:val="2"/>
          <w:numId w:val="88"/>
        </w:numPr>
      </w:pPr>
      <w:r>
        <w:rPr/>
        <w:t>Muqueuse de type respiratoire de la caisse -&gt; épithélium malpighien sous l’effet d’</w:t>
      </w:r>
      <w:r>
        <w:rPr/>
        <w:t>inflammations</w:t>
      </w:r>
      <w:r>
        <w:rPr/>
        <w:t xml:space="preserve"> répétées</w:t>
      </w:r>
    </w:p>
    <w:p>
      <w:pPr>
        <w:numPr>
          <w:ilvl w:val="1"/>
          <w:numId w:val="88"/>
        </w:numPr>
      </w:pPr>
      <w:r>
        <w:rPr>
          <w:b/>
        </w:rPr>
        <w:t xml:space="preserve">Migration </w:t>
      </w:r>
      <w:r>
        <w:rPr>
          <w:b/>
        </w:rPr>
        <w:t>latérale</w:t>
      </w:r>
      <w:r>
        <w:rPr/>
      </w:r>
      <w:r>
        <w:rPr>
          <w:b/>
        </w:rPr>
        <w:t xml:space="preserve"> : </w:t>
      </w:r>
      <w:r>
        <w:rPr/>
        <w:t>Migration de tissus épidermique à partir d’une perforation marginale (berge) vers la caisse du tympan, épidermose malléaire (épiderme au contact du malléus)</w:t>
      </w:r>
    </w:p>
    <w:p>
      <w:pPr>
        <w:numPr>
          <w:ilvl w:val="1"/>
          <w:numId w:val="88"/>
        </w:numPr>
      </w:pPr>
      <w:r>
        <w:rPr>
          <w:b/>
        </w:rPr>
        <w:t>Inclusion épidermique (post-traumatique/iatrogène) :</w:t>
      </w:r>
    </w:p>
    <w:p>
      <w:pPr>
        <w:numPr>
          <w:ilvl w:val="2"/>
          <w:numId w:val="88"/>
        </w:numPr>
      </w:pPr>
      <w:r>
        <w:rPr/>
        <w:t>Incarcération de fragment de l’épiderme dans l’oreille moyenne</w:t>
      </w:r>
    </w:p>
    <w:p>
      <w:pPr>
        <w:numPr>
          <w:ilvl w:val="1"/>
          <w:numId w:val="88"/>
        </w:numPr>
      </w:pPr>
      <w:r>
        <w:rPr>
          <w:b/>
        </w:rPr>
        <w:t xml:space="preserve">Cholestéatome congénital : </w:t>
      </w:r>
      <w:r>
        <w:rPr/>
        <w:t>rare, pas d’inflammation, tympan intact</w:t>
      </w:r>
    </w:p>
    <w:p>
      <w:pPr>
        <w:numPr>
          <w:ilvl w:val="2"/>
          <w:numId w:val="88"/>
        </w:numPr>
      </w:pPr>
      <w:r>
        <w:rPr/>
        <w:t>Absence de résorption des cellules embryonnaires épidermiques</w:t>
      </w:r>
    </w:p>
    <w:p>
      <w:pPr>
        <w:numPr>
          <w:ilvl w:val="1"/>
          <w:numId w:val="88"/>
        </w:numPr>
      </w:pPr>
      <w:r>
        <w:rPr>
          <w:b/>
        </w:rPr>
        <w:t xml:space="preserve">Dysfonctionnement tubaire -&gt; </w:t>
      </w:r>
      <w:r>
        <w:rPr/>
        <w:t>dépression, invagination puis rétraction tympanique (</w:t>
      </w:r>
      <w:r>
        <w:rPr>
          <w:i/>
        </w:rPr>
        <w:t>même mécanisme que l’OSM)</w:t>
      </w:r>
    </w:p>
    <w:p>
      <w:pPr>
        <w:numPr>
          <w:ilvl w:val="1"/>
          <w:numId w:val="88"/>
        </w:numPr>
      </w:pPr>
      <w:r>
        <w:rPr>
          <w:b/>
        </w:rPr>
        <w:t>Prolifération papillaire :</w:t>
      </w:r>
    </w:p>
    <w:p>
      <w:pPr>
        <w:numPr>
          <w:ilvl w:val="2"/>
          <w:numId w:val="88"/>
        </w:numPr>
      </w:pPr>
      <w:r>
        <w:rPr/>
        <w:t>Prolifération de l’épithélium superficiel infiltrant les tissus conjonctifs sous-jacents</w:t>
      </w:r>
      <w:r>
        <w:rPr/>
        <w:br/>
      </w:r>
    </w:p>
    <w:p>
      <w:pPr>
        <w:numPr>
          <w:ilvl w:val="1"/>
          <w:numId w:val="88"/>
        </w:numPr>
      </w:pPr>
      <w:r>
        <w:rPr>
          <w:b/>
        </w:rPr>
        <w:t>Les germes infectieux :</w:t>
      </w:r>
    </w:p>
    <w:p>
      <w:pPr>
        <w:numPr>
          <w:ilvl w:val="2"/>
          <w:numId w:val="88"/>
        </w:numPr>
      </w:pPr>
      <w:r>
        <w:rPr>
          <w:b/>
        </w:rPr>
        <w:t xml:space="preserve">Les germes : </w:t>
      </w:r>
      <w:r>
        <w:rPr>
          <w:i/>
        </w:rPr>
        <w:t>Staphylococcus aureus, Pseudomonas aeruginosa, Haemophilus influenzae, Moraxella, Proteus mirabilis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89"/>
        </w:numPr>
      </w:pPr>
      <w:r>
        <w:rPr/>
        <w:t xml:space="preserve">Lésion tumorale </w:t>
      </w:r>
    </w:p>
    <w:p>
      <w:pPr>
        <w:numPr>
          <w:ilvl w:val="0"/>
          <w:numId w:val="89"/>
        </w:numPr>
      </w:pPr>
      <w:r>
        <w:rPr/>
        <w:t>Bouchon de cérumen</w:t>
      </w:r>
    </w:p>
    <w:p>
      <w:pPr>
        <w:numPr>
          <w:ilvl w:val="0"/>
          <w:numId w:val="89"/>
        </w:numPr>
      </w:pPr>
      <w:r>
        <w:rPr/>
        <w:t>Otite moyenne chronique simple : sans perforation, sans otorrhée, sans échec des traitements médicaux</w:t>
      </w:r>
    </w:p>
    <w:p>
      <w:pPr>
        <w:numPr>
          <w:ilvl w:val="0"/>
          <w:numId w:val="89"/>
        </w:numPr>
      </w:pPr>
      <w:r>
        <w:rPr/>
        <w:t>Furoncle : sans poche de rétraction</w:t>
      </w:r>
    </w:p>
    <w:p>
      <w:pPr>
        <w:numPr>
          <w:ilvl w:val="0"/>
          <w:numId w:val="89"/>
        </w:numPr>
      </w:pPr>
      <w:r>
        <w:rPr/>
        <w:t>Otite externe : otorrhée, tympan intact</w:t>
      </w:r>
    </w:p>
    <w:p>
      <w:pPr/>
    </w:p>
    <w:p>
      <w:pPr>
        <w:pStyle w:val="Heading2"/>
      </w:pPr>
      <w:r>
        <w:rPr/>
        <w:t>DIAGNOSTIC DE GRAVITE</w:t>
      </w:r>
      <w:r>
        <w:rPr/>
        <w:t xml:space="preserve"> </w:t>
      </w:r>
    </w:p>
    <w:p>
      <w:pPr>
        <w:numPr>
          <w:ilvl w:val="0"/>
          <w:numId w:val="90"/>
        </w:numPr>
      </w:pPr>
      <w:r>
        <w:rPr/>
        <w:t xml:space="preserve">Lyse </w:t>
      </w:r>
      <w:r>
        <w:rPr/>
        <w:t>ossiculaire</w:t>
      </w:r>
      <w:r>
        <w:rPr/>
      </w:r>
    </w:p>
    <w:p>
      <w:pPr>
        <w:numPr>
          <w:ilvl w:val="0"/>
          <w:numId w:val="90"/>
        </w:numPr>
      </w:pPr>
      <w:r>
        <w:rPr/>
        <w:t>Paralysie faciale périphérique</w:t>
      </w:r>
    </w:p>
    <w:p>
      <w:pPr>
        <w:numPr>
          <w:ilvl w:val="0"/>
          <w:numId w:val="90"/>
        </w:numPr>
      </w:pPr>
      <w:r>
        <w:rPr/>
        <w:t>Mastoïdite</w:t>
      </w:r>
    </w:p>
    <w:p>
      <w:pPr>
        <w:numPr>
          <w:ilvl w:val="0"/>
          <w:numId w:val="90"/>
        </w:numPr>
      </w:pPr>
      <w:r>
        <w:rPr/>
        <w:t>Labyrinthite, fistule labyrinthique</w:t>
      </w:r>
    </w:p>
    <w:p>
      <w:pPr>
        <w:numPr>
          <w:ilvl w:val="0"/>
          <w:numId w:val="90"/>
        </w:numPr>
      </w:pPr>
      <w:r>
        <w:rPr/>
        <w:t>Méningite</w:t>
      </w:r>
    </w:p>
    <w:p>
      <w:pPr>
        <w:numPr>
          <w:ilvl w:val="0"/>
          <w:numId w:val="90"/>
        </w:numPr>
      </w:pPr>
      <w:r>
        <w:rPr/>
        <w:t>Thrombophlébite du sinus latéral</w:t>
      </w:r>
    </w:p>
    <w:p>
      <w:pPr>
        <w:numPr>
          <w:ilvl w:val="0"/>
          <w:numId w:val="90"/>
        </w:numPr>
      </w:pPr>
      <w:r>
        <w:rPr/>
        <w:t>Abcès cérébral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91"/>
        </w:numPr>
      </w:pPr>
      <w:r>
        <w:rPr/>
        <w:t>Buts :</w:t>
      </w:r>
    </w:p>
    <w:p>
      <w:pPr>
        <w:numPr>
          <w:ilvl w:val="1"/>
          <w:numId w:val="91"/>
        </w:numPr>
      </w:pPr>
      <w:r>
        <w:rPr/>
        <w:t>Ôter le cholestéatome</w:t>
      </w:r>
    </w:p>
    <w:p>
      <w:pPr>
        <w:numPr>
          <w:ilvl w:val="1"/>
          <w:numId w:val="91"/>
        </w:numPr>
      </w:pPr>
      <w:r>
        <w:rPr/>
        <w:t>Préserver/Améliorer l’audition</w:t>
      </w:r>
    </w:p>
    <w:p>
      <w:pPr>
        <w:numPr>
          <w:ilvl w:val="1"/>
          <w:numId w:val="91"/>
        </w:numPr>
      </w:pPr>
      <w:r>
        <w:rPr/>
        <w:t>Eviter les complications</w:t>
      </w:r>
    </w:p>
    <w:p>
      <w:pPr>
        <w:numPr>
          <w:ilvl w:val="1"/>
          <w:numId w:val="91"/>
        </w:numPr>
      </w:pPr>
      <w:r>
        <w:rPr/>
        <w:t>Restaurer les structures anatomiques (facilite l’appareillage)</w:t>
      </w:r>
    </w:p>
    <w:p>
      <w:pPr>
        <w:numPr>
          <w:ilvl w:val="1"/>
          <w:numId w:val="91"/>
        </w:numPr>
      </w:pPr>
      <w:r>
        <w:rPr/>
        <w:t>Eviter les récidives</w:t>
      </w:r>
    </w:p>
    <w:p>
      <w:pPr>
        <w:pStyle w:val="Heading3"/>
        <w:numPr>
          <w:ilvl w:val="0"/>
          <w:numId w:val="91"/>
        </w:numPr>
      </w:pPr>
      <w:r>
        <w:rPr/>
        <w:t>Moyens :</w:t>
      </w:r>
    </w:p>
    <w:p>
      <w:pPr>
        <w:numPr>
          <w:ilvl w:val="1"/>
          <w:numId w:val="91"/>
        </w:numPr>
      </w:pPr>
      <w:r>
        <w:rPr/>
        <w:t>Hospitalisation</w:t>
      </w:r>
    </w:p>
    <w:p>
      <w:pPr>
        <w:numPr>
          <w:ilvl w:val="1"/>
          <w:numId w:val="91"/>
        </w:numPr>
      </w:pPr>
      <w:r>
        <w:rPr/>
        <w:t>Médicaux : antalgiques, antibiothérapie locale ou générale</w:t>
      </w:r>
    </w:p>
    <w:p>
      <w:pPr>
        <w:numPr>
          <w:ilvl w:val="1"/>
          <w:numId w:val="91"/>
        </w:numPr>
      </w:pPr>
      <w:r>
        <w:rPr/>
        <w:t xml:space="preserve">Aspiration </w:t>
      </w:r>
      <w:r>
        <w:rPr>
          <w:i/>
        </w:rPr>
        <w:t xml:space="preserve">pluriquotidienne </w:t>
      </w:r>
    </w:p>
    <w:p>
      <w:pPr>
        <w:numPr>
          <w:ilvl w:val="1"/>
          <w:numId w:val="91"/>
        </w:numPr>
      </w:pPr>
      <w:r>
        <w:rPr/>
        <w:t xml:space="preserve">Chirurgies : évidement pétro-mastoïdien ou tympanoplastie en technique ouverte ou technique fermée </w:t>
      </w:r>
    </w:p>
    <w:p>
      <w:pPr>
        <w:numPr>
          <w:ilvl w:val="1"/>
          <w:numId w:val="91"/>
        </w:numPr>
      </w:pPr>
      <w:r>
        <w:drawing>
          <wp:inline xmlns:a="http://schemas.openxmlformats.org/drawingml/2006/main" xmlns:pic="http://schemas.openxmlformats.org/drawingml/2006/picture">
            <wp:extent cx="26492200" cy="1982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0" cy="1982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91"/>
        </w:numPr>
      </w:pPr>
      <w:r>
        <w:rPr/>
        <w:t>Indications :</w:t>
      </w:r>
    </w:p>
    <w:p>
      <w:pPr>
        <w:numPr>
          <w:ilvl w:val="1"/>
          <w:numId w:val="91"/>
        </w:numPr>
      </w:pPr>
      <w:r>
        <w:rPr/>
        <w:t>Hospitalisation</w:t>
      </w:r>
    </w:p>
    <w:p>
      <w:pPr>
        <w:numPr>
          <w:ilvl w:val="1"/>
          <w:numId w:val="91"/>
        </w:numPr>
      </w:pPr>
      <w:r>
        <w:rPr/>
        <w:t xml:space="preserve">Antibiotique / antalgique / soins locaux : obligatoire </w:t>
      </w:r>
    </w:p>
    <w:p>
      <w:pPr>
        <w:numPr>
          <w:ilvl w:val="1"/>
          <w:numId w:val="91"/>
        </w:numPr>
      </w:pPr>
      <w:r>
        <w:rPr/>
        <w:t xml:space="preserve">Chirurgie : </w:t>
      </w:r>
      <w:r>
        <w:rPr>
          <w:b/>
        </w:rPr>
        <w:t>seul moyen efficace, indiquée devant toute OMCC</w:t>
      </w:r>
      <w:r>
        <w:rPr>
          <w:b/>
        </w:rPr>
        <w:br/>
      </w:r>
    </w:p>
    <w:p>
      <w:pPr>
        <w:pStyle w:val="Heading3"/>
        <w:numPr>
          <w:ilvl w:val="0"/>
          <w:numId w:val="91"/>
        </w:numPr>
      </w:pPr>
      <w:r>
        <w:rPr/>
        <w:t>Résultats et pronostic</w:t>
      </w:r>
      <w:r>
        <w:rPr/>
        <w:t xml:space="preserve"> </w:t>
      </w:r>
    </w:p>
    <w:p>
      <w:pPr>
        <w:numPr>
          <w:ilvl w:val="1"/>
          <w:numId w:val="91"/>
        </w:numPr>
      </w:pPr>
      <w:r>
        <w:rPr/>
        <w:t>Récidive +++</w:t>
      </w:r>
    </w:p>
    <w:p>
      <w:pPr>
        <w:numPr>
          <w:ilvl w:val="1"/>
          <w:numId w:val="91"/>
        </w:numPr>
      </w:pPr>
      <w:r>
        <w:rPr/>
        <w:t>Technique ouverte : moins de récidive mais banalise l’audition</w:t>
      </w:r>
    </w:p>
    <w:p>
      <w:pPr>
        <w:numPr>
          <w:ilvl w:val="1"/>
          <w:numId w:val="91"/>
        </w:numPr>
      </w:pPr>
      <w:r>
        <w:rPr/>
        <w:t xml:space="preserve">Technique fermée : plus esthétique mais risque de </w:t>
      </w:r>
      <w:r>
        <w:rPr/>
        <w:t>récidive importante</w:t>
      </w:r>
    </w:p>
    <w:p>
      <w:pPr>
        <w:numPr>
          <w:ilvl w:val="1"/>
          <w:numId w:val="91"/>
        </w:numPr>
      </w:pPr>
      <w:r>
        <w:rPr/>
        <w:t>Pas de guérison spontanée, sans traitement adapté = complications</w:t>
      </w:r>
      <w:r>
        <w:rPr/>
        <w:br/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92"/>
        </w:numPr>
      </w:pPr>
      <w:r>
        <w:rPr/>
        <w:t>Otite chronique fétide = consultation spécialisée</w:t>
      </w:r>
    </w:p>
    <w:p>
      <w:pPr>
        <w:numPr>
          <w:ilvl w:val="0"/>
          <w:numId w:val="92"/>
        </w:numPr>
      </w:pPr>
      <w:r>
        <w:rPr/>
        <w:t>Diagnostic : clinique ++ : perforation marginale + cholé</w:t>
      </w:r>
    </w:p>
    <w:p>
      <w:pPr>
        <w:numPr>
          <w:ilvl w:val="0"/>
          <w:numId w:val="92"/>
        </w:numPr>
      </w:pPr>
      <w:r>
        <w:rPr/>
        <w:t>PEC : chirurgicale 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