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RHINOSINUSOPHARYNGITE DE L’ENFANT</w:t>
      </w:r>
    </w:p>
    <w:p>
      <w:pPr>
        <w:pStyle w:val="Heading2"/>
      </w:pPr>
      <w:r>
        <w:rPr/>
        <w:t xml:space="preserve"> </w:t>
      </w:r>
      <w:r>
        <w:rPr/>
        <w:t>Prérequis</w:t>
      </w:r>
      <w:r>
        <w:rPr/>
        <w:t xml:space="preserve"> :</w:t>
      </w:r>
    </w:p>
    <w:p>
      <w:pPr>
        <w:numPr>
          <w:ilvl w:val="0"/>
          <w:numId w:val="1"/>
        </w:numPr>
      </w:pPr>
      <w:r>
        <w:rPr/>
        <w:t xml:space="preserve">Embryologie et anatomie des cavités </w:t>
      </w:r>
      <w:r>
        <w:rPr/>
        <w:t>naso</w:t>
      </w:r>
      <w:r>
        <w:rPr/>
        <w:t>-sinusiennes (L2)</w:t>
      </w:r>
    </w:p>
    <w:p>
      <w:pPr>
        <w:numPr>
          <w:ilvl w:val="0"/>
          <w:numId w:val="1"/>
        </w:numPr>
      </w:pPr>
      <w:r>
        <w:rPr/>
        <w:t xml:space="preserve">Sémiologie </w:t>
      </w:r>
      <w:r>
        <w:rPr/>
        <w:t>rhinologique</w:t>
      </w:r>
      <w:r>
        <w:rPr/>
        <w:t xml:space="preserve"> en L3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2"/>
        </w:numPr>
      </w:pPr>
      <w:r>
        <w:rPr/>
        <w:t xml:space="preserve">Définir la </w:t>
      </w:r>
      <w:r>
        <w:rPr/>
        <w:t>rhinosinusopharyngite</w:t>
      </w:r>
    </w:p>
    <w:p>
      <w:pPr>
        <w:numPr>
          <w:ilvl w:val="0"/>
          <w:numId w:val="2"/>
        </w:numPr>
      </w:pPr>
      <w:r>
        <w:rPr/>
        <w:t>Distinguer les différentes formes cliniques</w:t>
      </w:r>
    </w:p>
    <w:p>
      <w:pPr>
        <w:numPr>
          <w:ilvl w:val="0"/>
          <w:numId w:val="2"/>
        </w:numPr>
      </w:pPr>
      <w:r>
        <w:rPr/>
        <w:t>Rechercher les facteurs favorisants</w:t>
      </w:r>
    </w:p>
    <w:p>
      <w:pPr>
        <w:numPr>
          <w:ilvl w:val="0"/>
          <w:numId w:val="2"/>
        </w:numPr>
      </w:pPr>
      <w:r>
        <w:rPr/>
        <w:t>Citer les complications</w:t>
      </w:r>
    </w:p>
    <w:p>
      <w:pPr/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"/>
        </w:numPr>
      </w:pPr>
      <w:r>
        <w:rPr/>
        <w:t xml:space="preserve">Inflammation d’origine infectieuse de façon simultanée des cavités </w:t>
      </w:r>
      <w:r>
        <w:rPr/>
        <w:t>nasosinusiennes</w:t>
      </w:r>
      <w:r>
        <w:rPr/>
        <w:t xml:space="preserve"> et rhinopharyngés de l’enfant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3"/>
        </w:numPr>
      </w:pPr>
      <w:r>
        <w:rPr/>
        <w:t>90% d’origine virale</w:t>
      </w:r>
    </w:p>
    <w:p>
      <w:pPr>
        <w:numPr>
          <w:ilvl w:val="1"/>
          <w:numId w:val="3"/>
        </w:numPr>
      </w:pPr>
      <w:r>
        <w:rPr/>
        <w:t>Enfant de 3 mois à 7 ans, surtout avant 3 ans</w:t>
      </w:r>
    </w:p>
    <w:p>
      <w:pPr>
        <w:pStyle w:val="Heading3"/>
      </w:pPr>
      <w:r>
        <w:rPr/>
        <w:t>Rappels</w:t>
      </w:r>
    </w:p>
    <w:p>
      <w:pPr>
        <w:numPr>
          <w:ilvl w:val="1"/>
          <w:numId w:val="3"/>
        </w:numPr>
      </w:pPr>
      <w:r>
        <w:rPr/>
        <w:t>Jusqu’à 4 ans : seul le labyrinthe éthmoïdal est individualisable</w:t>
      </w:r>
    </w:p>
    <w:p>
      <w:pPr>
        <w:numPr>
          <w:ilvl w:val="1"/>
          <w:numId w:val="3"/>
        </w:numPr>
      </w:pPr>
      <w:r>
        <w:rPr/>
        <w:t>Après 4 ans : formation des sinus maxillaires</w:t>
      </w:r>
    </w:p>
    <w:p>
      <w:pPr>
        <w:numPr>
          <w:ilvl w:val="1"/>
          <w:numId w:val="3"/>
        </w:numPr>
      </w:pPr>
      <w:r>
        <w:rPr/>
        <w:t xml:space="preserve">Après 6 ans : </w:t>
      </w:r>
      <w:r>
        <w:rPr/>
        <w:t>rhinosinusites</w:t>
      </w:r>
      <w:r>
        <w:rPr/>
        <w:t xml:space="preserve"> identiques à celles des adultes</w:t>
      </w:r>
    </w:p>
    <w:p>
      <w:pPr>
        <w:numPr>
          <w:ilvl w:val="1"/>
          <w:numId w:val="3"/>
        </w:numPr>
      </w:pPr>
      <w:r>
        <w:rPr/>
        <w:t xml:space="preserve">Cavités nasales et cavités </w:t>
      </w:r>
      <w:r>
        <w:rPr/>
        <w:t>rhinosinusiennes</w:t>
      </w:r>
      <w:r>
        <w:rPr/>
        <w:t xml:space="preserve"> largement en communication chez l’enfant</w:t>
      </w:r>
    </w:p>
    <w:p>
      <w:pPr>
        <w:numPr>
          <w:ilvl w:val="1"/>
          <w:numId w:val="3"/>
        </w:numPr>
      </w:pPr>
      <w:r>
        <w:rPr/>
        <w:t xml:space="preserve">Entités anatomiques inséparables : rhinopharynx et sinus. D’où le terme </w:t>
      </w:r>
      <w:r>
        <w:rPr>
          <w:b/>
        </w:rPr>
        <w:t>rhinopharyngite</w:t>
      </w:r>
    </w:p>
    <w:p>
      <w:pPr>
        <w:ind w:left="360"/>
      </w:pPr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4"/>
        </w:numPr>
      </w:pPr>
      <w:r>
        <w:rPr/>
        <w:t xml:space="preserve">TDD : </w:t>
      </w:r>
      <w:r>
        <w:rPr/>
        <w:t>Rhinosinusopharyngite</w:t>
      </w:r>
      <w:r>
        <w:rPr/>
        <w:t xml:space="preserve"> aiguë</w:t>
      </w:r>
    </w:p>
    <w:p>
      <w:pPr>
        <w:pStyle w:val="Heading4"/>
        <w:numPr>
          <w:ilvl w:val="0"/>
          <w:numId w:val="74"/>
        </w:numPr>
      </w:pPr>
      <w:r>
        <w:rPr/>
        <w:t>Interrogatoire</w:t>
      </w:r>
    </w:p>
    <w:p>
      <w:pPr>
        <w:numPr>
          <w:ilvl w:val="2"/>
          <w:numId w:val="4"/>
        </w:numPr>
      </w:pPr>
      <w:r>
        <w:rPr/>
        <w:t>Durée</w:t>
      </w:r>
      <w:r>
        <w:rPr/>
        <w:t xml:space="preserve"> d’évolution </w:t>
      </w:r>
      <w:r>
        <w:rPr>
          <w:b/>
        </w:rPr>
        <w:t>&lt; 6 Jours</w:t>
      </w:r>
    </w:p>
    <w:p>
      <w:pPr>
        <w:numPr>
          <w:ilvl w:val="2"/>
          <w:numId w:val="4"/>
        </w:numPr>
      </w:pPr>
      <w:r>
        <w:rPr/>
        <w:t>Rhinorrhée bilatérale : séreuse, rapidement jaunâtre et verdâtre</w:t>
      </w:r>
    </w:p>
    <w:p>
      <w:pPr>
        <w:numPr>
          <w:ilvl w:val="2"/>
          <w:numId w:val="4"/>
        </w:numPr>
      </w:pPr>
      <w:r>
        <w:rPr/>
        <w:t>Toux : sèche devenant rapidement grasse</w:t>
      </w:r>
    </w:p>
    <w:p>
      <w:pPr>
        <w:numPr>
          <w:ilvl w:val="2"/>
          <w:numId w:val="4"/>
        </w:numPr>
      </w:pPr>
      <w:r>
        <w:rPr/>
        <w:t>Obstruction nasale : ronflement et gêne au cours du sommeil</w:t>
      </w:r>
    </w:p>
    <w:p>
      <w:pPr>
        <w:numPr>
          <w:ilvl w:val="2"/>
          <w:numId w:val="4"/>
        </w:numPr>
      </w:pPr>
      <w:r>
        <w:rPr/>
        <w:t>Diarrhée</w:t>
      </w:r>
      <w:r>
        <w:rPr/>
        <w:t xml:space="preserve"> et vomissement (”signes </w:t>
      </w:r>
      <w:r>
        <w:rPr/>
        <w:t>batards</w:t>
      </w:r>
      <w:r>
        <w:rPr/>
        <w:t>”)</w:t>
      </w:r>
    </w:p>
    <w:p>
      <w:pPr>
        <w:pStyle w:val="Heading4"/>
        <w:numPr>
          <w:ilvl w:val="0"/>
          <w:numId w:val="74"/>
        </w:numPr>
      </w:pPr>
      <w:r>
        <w:rPr/>
        <w:t>Examen physique</w:t>
      </w:r>
    </w:p>
    <w:p>
      <w:pPr>
        <w:numPr>
          <w:ilvl w:val="2"/>
          <w:numId w:val="4"/>
        </w:numPr>
      </w:pPr>
      <w:r>
        <w:rPr/>
        <w:t>Signes généraux : fièvre &gt; 38,5°C, malaise, anorexie</w:t>
      </w:r>
    </w:p>
    <w:p>
      <w:pPr>
        <w:numPr>
          <w:ilvl w:val="2"/>
          <w:numId w:val="4"/>
        </w:numPr>
      </w:pPr>
      <w:r>
        <w:rPr/>
        <w:t>Rhinoscopie antérieure :</w:t>
      </w:r>
    </w:p>
    <w:p>
      <w:pPr>
        <w:numPr>
          <w:ilvl w:val="3"/>
          <w:numId w:val="4"/>
        </w:numPr>
      </w:pPr>
      <w:r>
        <w:rPr/>
        <w:t xml:space="preserve">Peut se faire avec </w:t>
      </w:r>
      <w:r>
        <w:rPr/>
        <w:t>un otoscope</w:t>
      </w:r>
      <w:r>
        <w:rPr/>
        <w:t xml:space="preserve"> ou un speculum d’oreille</w:t>
      </w:r>
    </w:p>
    <w:p>
      <w:pPr>
        <w:numPr>
          <w:ilvl w:val="3"/>
          <w:numId w:val="4"/>
        </w:numPr>
      </w:pPr>
      <w:r>
        <w:rPr/>
        <w:t>Retrouve une rougeur et congestion de la muqueuse nasale</w:t>
      </w:r>
    </w:p>
    <w:p>
      <w:pPr>
        <w:numPr>
          <w:ilvl w:val="2"/>
          <w:numId w:val="4"/>
        </w:numPr>
      </w:pPr>
      <w:r>
        <w:rPr/>
        <w:t>Nasofibroscopie</w:t>
      </w:r>
      <w:r>
        <w:rPr/>
        <w:t xml:space="preserve"> : élimine</w:t>
      </w:r>
    </w:p>
    <w:p>
      <w:pPr>
        <w:numPr>
          <w:ilvl w:val="3"/>
          <w:numId w:val="4"/>
        </w:numPr>
      </w:pPr>
      <w:r>
        <w:rPr/>
        <w:t xml:space="preserve">Imperforation </w:t>
      </w:r>
      <w:r>
        <w:rPr/>
        <w:t>choanale</w:t>
      </w:r>
    </w:p>
    <w:p>
      <w:pPr>
        <w:numPr>
          <w:ilvl w:val="3"/>
          <w:numId w:val="4"/>
        </w:numPr>
      </w:pPr>
      <w:r>
        <w:rPr/>
        <w:t>Hypertrophie des végétations adénoïdiennes</w:t>
      </w:r>
    </w:p>
    <w:p>
      <w:pPr>
        <w:numPr>
          <w:ilvl w:val="2"/>
          <w:numId w:val="4"/>
        </w:numPr>
      </w:pPr>
      <w:r>
        <w:rPr/>
        <w:t>Reste de l’examen ORL</w:t>
      </w:r>
    </w:p>
    <w:p>
      <w:pPr>
        <w:numPr>
          <w:ilvl w:val="3"/>
          <w:numId w:val="4"/>
        </w:numPr>
      </w:pPr>
      <w:r>
        <w:rPr/>
        <w:t xml:space="preserve">Otoscopie : </w:t>
      </w:r>
      <w:r>
        <w:rPr>
          <w:b/>
          <w:u w:val="single"/>
        </w:rPr>
        <w:t>toujours rechercher une otite</w:t>
      </w:r>
    </w:p>
    <w:p>
      <w:pPr>
        <w:numPr>
          <w:ilvl w:val="3"/>
          <w:numId w:val="4"/>
        </w:numPr>
      </w:pPr>
      <w:r>
        <w:rPr/>
        <w:t>Examen oral et pharyngé : jetage postérieur, état des tonsilles palatines, état dentaire</w:t>
      </w:r>
    </w:p>
    <w:p>
      <w:pPr>
        <w:numPr>
          <w:ilvl w:val="2"/>
          <w:numId w:val="4"/>
        </w:numPr>
      </w:pPr>
      <w:r>
        <w:rPr/>
        <w:t>Palpation cervicale : recherche des adénopathies satellites</w:t>
      </w:r>
    </w:p>
    <w:p>
      <w:pPr>
        <w:pStyle w:val="Heading4"/>
        <w:numPr>
          <w:ilvl w:val="0"/>
          <w:numId w:val="74"/>
        </w:numPr>
      </w:pPr>
      <w:r>
        <w:rPr/>
        <w:t>Examens paracliniques</w:t>
      </w:r>
    </w:p>
    <w:p>
      <w:pPr>
        <w:numPr>
          <w:ilvl w:val="2"/>
          <w:numId w:val="4"/>
        </w:numPr>
      </w:pPr>
      <w:r>
        <w:rPr/>
        <w:t>Diagnostic clinique</w:t>
      </w:r>
    </w:p>
    <w:p>
      <w:pPr>
        <w:numPr>
          <w:ilvl w:val="2"/>
          <w:numId w:val="4"/>
        </w:numPr>
      </w:pPr>
      <w:r>
        <w:rPr/>
        <w:t>Aucun examen biologique ou radiologique nécessaire</w:t>
      </w:r>
    </w:p>
    <w:p>
      <w:pPr>
        <w:numPr>
          <w:ilvl w:val="2"/>
          <w:numId w:val="4"/>
        </w:numPr>
      </w:pPr>
      <w:r>
        <w:rPr/>
        <w:t>Certains examens recherchent des complications</w:t>
      </w:r>
    </w:p>
    <w:p>
      <w:pPr>
        <w:pStyle w:val="Heading3"/>
        <w:numPr>
          <w:ilvl w:val="0"/>
          <w:numId w:val="4"/>
        </w:numPr>
      </w:pPr>
      <w:r>
        <w:rPr/>
        <w:t>Formes cliniques</w:t>
      </w:r>
    </w:p>
    <w:p>
      <w:pPr>
        <w:pStyle w:val="Heading4"/>
        <w:numPr>
          <w:ilvl w:val="0"/>
          <w:numId w:val="75"/>
        </w:numPr>
      </w:pPr>
      <w:r>
        <w:rPr/>
        <w:t>RSP aiguë banale : TDD</w:t>
      </w:r>
    </w:p>
    <w:p>
      <w:pPr>
        <w:pStyle w:val="Heading4"/>
        <w:numPr>
          <w:ilvl w:val="0"/>
          <w:numId w:val="75"/>
        </w:numPr>
      </w:pPr>
      <w:r>
        <w:rPr/>
        <w:t>RSP récidivante :</w:t>
      </w:r>
    </w:p>
    <w:p>
      <w:pPr>
        <w:numPr>
          <w:ilvl w:val="2"/>
          <w:numId w:val="4"/>
        </w:numPr>
      </w:pPr>
      <w:r>
        <w:rPr/>
        <w:t>Allure subaiguë ou chronique</w:t>
      </w:r>
    </w:p>
    <w:p>
      <w:pPr>
        <w:numPr>
          <w:ilvl w:val="2"/>
          <w:numId w:val="4"/>
        </w:numPr>
      </w:pPr>
      <w:r>
        <w:rPr/>
        <w:t>Enfant adénoïdien</w:t>
      </w:r>
    </w:p>
    <w:p>
      <w:pPr>
        <w:numPr>
          <w:ilvl w:val="2"/>
          <w:numId w:val="4"/>
        </w:numPr>
      </w:pPr>
      <w:r>
        <w:rPr/>
        <w:t>Rechercher les facteurs favorisants</w:t>
      </w:r>
    </w:p>
    <w:p>
      <w:pPr>
        <w:pStyle w:val="Heading4"/>
        <w:numPr>
          <w:ilvl w:val="0"/>
          <w:numId w:val="75"/>
        </w:numPr>
      </w:pPr>
      <w:r>
        <w:rPr/>
        <w:t>Formes compliquées</w:t>
      </w:r>
    </w:p>
    <w:p>
      <w:pPr>
        <w:numPr>
          <w:ilvl w:val="2"/>
          <w:numId w:val="4"/>
        </w:numPr>
      </w:pPr>
      <w:r>
        <w:rPr/>
        <w:t>Ethmoïdite</w:t>
      </w:r>
      <w:r>
        <w:rPr/>
        <w:t xml:space="preserve"> aiguë</w:t>
      </w:r>
    </w:p>
    <w:p>
      <w:pPr>
        <w:numPr>
          <w:ilvl w:val="2"/>
          <w:numId w:val="4"/>
        </w:numPr>
      </w:pPr>
      <w:r>
        <w:rPr/>
        <w:t>Rhinosinusite</w:t>
      </w:r>
      <w:r>
        <w:rPr/>
        <w:t xml:space="preserve"> aiguë</w:t>
      </w:r>
    </w:p>
    <w:p>
      <w:pPr>
        <w:numPr>
          <w:ilvl w:val="2"/>
          <w:numId w:val="4"/>
        </w:numPr>
      </w:pPr>
      <w:r>
        <w:rPr/>
        <w:t>Otite moyenne aiguë</w:t>
      </w:r>
    </w:p>
    <w:p>
      <w:pPr>
        <w:numPr>
          <w:ilvl w:val="2"/>
          <w:numId w:val="4"/>
        </w:numPr>
      </w:pPr>
      <w:r>
        <w:rPr/>
        <w:t>Laryngite sous-glottique, striduleuse, épiglottite</w:t>
      </w:r>
    </w:p>
    <w:p>
      <w:pPr>
        <w:numPr>
          <w:ilvl w:val="2"/>
          <w:numId w:val="4"/>
        </w:numPr>
      </w:pPr>
      <w:r>
        <w:rPr/>
        <w:t>Diarrhée, vomissement, déshydratation, convulsions fébriles</w:t>
      </w:r>
    </w:p>
    <w:p>
      <w:pPr>
        <w:ind w:left="360"/>
      </w:pPr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5"/>
        </w:numPr>
      </w:pPr>
      <w:r>
        <w:rPr/>
        <w:t xml:space="preserve">Corps étranger intra-narinaire : rhinorrhée </w:t>
      </w:r>
      <w:r>
        <w:rPr>
          <w:b/>
        </w:rPr>
        <w:t>unilatérale</w:t>
      </w:r>
      <w:r>
        <w:rPr/>
        <w:t xml:space="preserve"> et nauséabonde</w:t>
      </w:r>
    </w:p>
    <w:p>
      <w:pPr>
        <w:numPr>
          <w:ilvl w:val="0"/>
          <w:numId w:val="5"/>
        </w:numPr>
      </w:pPr>
      <w:r>
        <w:rPr/>
        <w:t>Polypes et tuméfactions de la cavité nasale</w:t>
      </w:r>
    </w:p>
    <w:p>
      <w:pPr>
        <w:numPr>
          <w:ilvl w:val="1"/>
          <w:numId w:val="5"/>
        </w:numPr>
      </w:pPr>
      <w:r>
        <w:rPr/>
        <w:t>Obstruction nasale souvent unilatérale</w:t>
      </w:r>
    </w:p>
    <w:p>
      <w:pPr>
        <w:numPr>
          <w:ilvl w:val="1"/>
          <w:numId w:val="5"/>
        </w:numPr>
      </w:pPr>
      <w:r>
        <w:rPr/>
        <w:t xml:space="preserve">Facilement retrouvée par la </w:t>
      </w:r>
      <w:r>
        <w:rPr/>
        <w:t>nasofibroscopie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6"/>
        </w:numPr>
      </w:pPr>
      <w:r>
        <w:rPr/>
        <w:t xml:space="preserve">90% d’origine virale : rhinovirus, adénovirus, </w:t>
      </w:r>
      <w:r>
        <w:rPr/>
        <w:t>echovirus</w:t>
      </w:r>
    </w:p>
    <w:p>
      <w:pPr>
        <w:numPr>
          <w:ilvl w:val="0"/>
          <w:numId w:val="6"/>
        </w:numPr>
      </w:pPr>
      <w:r>
        <w:rPr>
          <w:b/>
        </w:rPr>
        <w:t xml:space="preserve">Facteurs </w:t>
      </w:r>
      <w:r>
        <w:rPr>
          <w:b/>
        </w:rPr>
        <w:t>favorisants :</w:t>
      </w:r>
      <w:r>
        <w:rPr>
          <w:b/>
        </w:rPr>
        <w:t xml:space="preserve"> </w:t>
      </w:r>
    </w:p>
    <w:p>
      <w:pPr>
        <w:numPr>
          <w:ilvl w:val="1"/>
          <w:numId w:val="6"/>
        </w:numPr>
      </w:pPr>
      <w:r>
        <w:rPr/>
        <w:t>Allergie</w:t>
      </w:r>
    </w:p>
    <w:p>
      <w:pPr>
        <w:numPr>
          <w:ilvl w:val="1"/>
          <w:numId w:val="6"/>
        </w:numPr>
      </w:pPr>
      <w:r>
        <w:rPr/>
        <w:t>Facteurs environnementaux : crèche, garderie, tabagisme passif</w:t>
      </w:r>
    </w:p>
    <w:p>
      <w:pPr>
        <w:numPr>
          <w:ilvl w:val="1"/>
          <w:numId w:val="6"/>
        </w:numPr>
      </w:pPr>
      <w:r>
        <w:rPr/>
        <w:t xml:space="preserve">Si épisodes fréquentes, rechercher : asthme, déficit immunitaire, mucoviscidose, reflux </w:t>
      </w:r>
      <w:r>
        <w:rPr/>
        <w:t>gastro-œsophagien</w:t>
      </w:r>
      <w:r>
        <w:rPr/>
        <w:t>, dyskinésie ciliaire</w:t>
      </w:r>
    </w:p>
    <w:p>
      <w:pPr/>
    </w:p>
    <w:p>
      <w:pPr>
        <w:pStyle w:val="Heading2"/>
      </w:pPr>
      <w:r>
        <w:rPr/>
        <w:t>PRINCIPE DU TRAITEMENT</w:t>
      </w:r>
    </w:p>
    <w:p>
      <w:pPr>
        <w:pStyle w:val="Heading3"/>
        <w:numPr>
          <w:ilvl w:val="0"/>
          <w:numId w:val="7"/>
        </w:numPr>
      </w:pPr>
      <w:r>
        <w:rPr/>
        <w:t>Traitement curatif</w:t>
      </w:r>
    </w:p>
    <w:p>
      <w:pPr>
        <w:numPr>
          <w:ilvl w:val="1"/>
          <w:numId w:val="7"/>
        </w:numPr>
      </w:pPr>
      <w:r>
        <w:rPr/>
        <w:t xml:space="preserve">RSP aiguë : </w:t>
      </w:r>
    </w:p>
    <w:p>
      <w:pPr>
        <w:numPr>
          <w:ilvl w:val="2"/>
          <w:numId w:val="7"/>
        </w:numPr>
      </w:pPr>
      <w:r>
        <w:rPr/>
        <w:t>Mouchage</w:t>
      </w:r>
    </w:p>
    <w:p>
      <w:pPr>
        <w:numPr>
          <w:ilvl w:val="2"/>
          <w:numId w:val="7"/>
        </w:numPr>
      </w:pPr>
      <w:r>
        <w:rPr/>
        <w:t>SSI en lavage</w:t>
      </w:r>
    </w:p>
    <w:p>
      <w:pPr>
        <w:numPr>
          <w:ilvl w:val="2"/>
          <w:numId w:val="7"/>
        </w:numPr>
      </w:pPr>
      <w:r>
        <w:rPr/>
        <w:t>Antipyrétique</w:t>
      </w:r>
    </w:p>
    <w:p>
      <w:pPr>
        <w:numPr>
          <w:ilvl w:val="1"/>
          <w:numId w:val="7"/>
        </w:numPr>
      </w:pPr>
      <w:r>
        <w:rPr/>
        <w:t xml:space="preserve">RSP récidivante : </w:t>
      </w:r>
    </w:p>
    <w:p>
      <w:pPr>
        <w:numPr>
          <w:ilvl w:val="2"/>
          <w:numId w:val="7"/>
        </w:numPr>
      </w:pPr>
      <w:r>
        <w:rPr/>
        <w:t>Mouchage, SSI en lavage, antipyrétique + polyvitamine, vaccin</w:t>
      </w:r>
    </w:p>
    <w:p>
      <w:pPr>
        <w:numPr>
          <w:ilvl w:val="2"/>
          <w:numId w:val="7"/>
        </w:numPr>
      </w:pPr>
      <w:r>
        <w:rPr/>
        <w:t>Traitement des facteurs favorisants</w:t>
      </w:r>
    </w:p>
    <w:p>
      <w:pPr>
        <w:numPr>
          <w:ilvl w:val="2"/>
          <w:numId w:val="7"/>
        </w:numPr>
      </w:pPr>
      <w:r>
        <w:rPr/>
        <w:t>Antibiothérapie si complication</w:t>
      </w:r>
    </w:p>
    <w:p>
      <w:pPr>
        <w:numPr>
          <w:ilvl w:val="2"/>
          <w:numId w:val="7"/>
        </w:numPr>
      </w:pPr>
      <w:r>
        <w:rPr/>
        <w:t>Adénoïdectomie à discuter</w:t>
      </w:r>
    </w:p>
    <w:p>
      <w:pPr>
        <w:pStyle w:val="Heading3"/>
        <w:numPr>
          <w:ilvl w:val="0"/>
          <w:numId w:val="7"/>
        </w:numPr>
      </w:pPr>
      <w:r>
        <w:rPr/>
        <w:t xml:space="preserve">Traitement </w:t>
      </w:r>
      <w:r>
        <w:rPr/>
        <w:t>préventif</w:t>
      </w:r>
    </w:p>
    <w:p>
      <w:pPr>
        <w:numPr>
          <w:ilvl w:val="1"/>
          <w:numId w:val="7"/>
        </w:numPr>
      </w:pPr>
      <w:r>
        <w:rPr/>
        <w:t>Education au mouchage</w:t>
      </w:r>
    </w:p>
    <w:p>
      <w:pPr>
        <w:numPr>
          <w:ilvl w:val="1"/>
          <w:numId w:val="7"/>
        </w:numPr>
      </w:pPr>
      <w:r>
        <w:rPr/>
        <w:t>Lavage des mains</w:t>
      </w:r>
    </w:p>
    <w:p>
      <w:pPr>
        <w:pStyle w:val="Heading3"/>
        <w:numPr>
          <w:ilvl w:val="0"/>
          <w:numId w:val="7"/>
        </w:numPr>
      </w:pPr>
      <w:r>
        <w:rPr/>
        <w:t>Résultats</w:t>
      </w:r>
    </w:p>
    <w:p>
      <w:pPr>
        <w:numPr>
          <w:ilvl w:val="1"/>
          <w:numId w:val="7"/>
        </w:numPr>
      </w:pPr>
      <w:r>
        <w:rPr/>
        <w:t>Guérison au bout de 7 à 10 jours</w:t>
      </w:r>
    </w:p>
    <w:p>
      <w:pPr>
        <w:pStyle w:val="Heading3"/>
        <w:numPr>
          <w:ilvl w:val="0"/>
          <w:numId w:val="7"/>
        </w:numPr>
      </w:pPr>
      <w:r>
        <w:rPr/>
        <w:t>Surveillance</w:t>
      </w:r>
    </w:p>
    <w:p>
      <w:pPr>
        <w:numPr>
          <w:ilvl w:val="1"/>
          <w:numId w:val="7"/>
        </w:numPr>
      </w:pPr>
      <w:r>
        <w:rPr/>
        <w:t>Continuelle pour la RSP récidivante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8"/>
        </w:numPr>
      </w:pPr>
      <w:r>
        <w:rPr/>
        <w:t>Adaptation au monde microbien</w:t>
      </w:r>
    </w:p>
    <w:p>
      <w:pPr>
        <w:numPr>
          <w:ilvl w:val="0"/>
          <w:numId w:val="8"/>
        </w:numPr>
      </w:pPr>
      <w:r>
        <w:rPr/>
        <w:t>Education au mouchage +++</w:t>
      </w:r>
    </w:p>
    <w:p>
      <w:pPr>
        <w:numPr>
          <w:ilvl w:val="0"/>
          <w:numId w:val="8"/>
        </w:numPr>
      </w:pPr>
      <w:r>
        <w:rPr/>
        <w:t>Antibiothérapie réservée aux complications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