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EXAMEN OPHTALMOLOGIQUE CHEZ L’ENFANT</w:t>
      </w:r>
    </w:p>
    <w:p>
      <w:pPr>
        <w:pStyle w:val="Heading2"/>
        <w:numPr>
          <w:ilvl w:val="0"/>
          <w:numId w:val="203"/>
        </w:numPr>
      </w:pPr>
      <w:r>
        <w:rPr/>
        <w:t>MATURATION DU SYSTEME VISUEL</w:t>
      </w:r>
    </w:p>
    <w:p>
      <w:pPr>
        <w:pStyle w:val="Heading3"/>
        <w:numPr>
          <w:ilvl w:val="0"/>
          <w:numId w:val="204"/>
        </w:numPr>
      </w:pPr>
      <w:r>
        <w:rPr/>
        <w:t>Maturation anatomique</w:t>
      </w:r>
    </w:p>
    <w:p>
      <w:pPr>
        <w:numPr>
          <w:ilvl w:val="0"/>
          <w:numId w:val="159"/>
        </w:numPr>
      </w:pPr>
      <w:r>
        <w:rPr/>
        <w:t xml:space="preserve">6 mois après la </w:t>
      </w:r>
      <w:r>
        <w:rPr/>
        <w:t>naissance :</w:t>
      </w:r>
      <w:r>
        <w:rPr/>
        <w:t xml:space="preserve"> corps genouillé latéral devient mature</w:t>
      </w:r>
    </w:p>
    <w:p>
      <w:pPr>
        <w:numPr>
          <w:ilvl w:val="0"/>
          <w:numId w:val="159"/>
        </w:numPr>
      </w:pPr>
      <w:r>
        <w:rPr/>
        <w:t>4 ans : rétine, photorécepteurs, cellules ganglionnaires</w:t>
      </w:r>
    </w:p>
    <w:p>
      <w:pPr>
        <w:numPr>
          <w:ilvl w:val="0"/>
          <w:numId w:val="159"/>
        </w:numPr>
      </w:pPr>
      <w:r>
        <w:rPr/>
        <w:t>Jusqu’à</w:t>
      </w:r>
      <w:r>
        <w:rPr/>
        <w:t xml:space="preserve"> 11 ans : cortex visuel</w:t>
      </w:r>
    </w:p>
    <w:p>
      <w:pPr/>
    </w:p>
    <w:p>
      <w:pPr/>
      <w:r>
        <w:rPr/>
        <w:t>En conséquence, la période sensible de la plasticité cérébrale dure jusqu’à 11 ans, avec un risque d’amblyopie</w:t>
      </w:r>
    </w:p>
    <w:p>
      <w:pPr>
        <w:pStyle w:val="Heading3"/>
        <w:numPr>
          <w:ilvl w:val="0"/>
          <w:numId w:val="204"/>
        </w:numPr>
      </w:pPr>
      <w:r>
        <w:rPr/>
        <w:t>Maturation physiologique</w:t>
      </w:r>
    </w:p>
    <w:p>
      <w:pPr/>
      <w:r>
        <w:rPr/>
        <w:t>En relation avec la maturation anatomique</w:t>
      </w:r>
    </w:p>
    <w:p>
      <w:pPr>
        <w:numPr>
          <w:ilvl w:val="0"/>
          <w:numId w:val="160"/>
        </w:numPr>
      </w:pPr>
      <w:r>
        <w:rPr/>
        <w:t>Affinement et spécialisation progressive des fonctions visuelles</w:t>
      </w:r>
    </w:p>
    <w:p>
      <w:pPr/>
    </w:p>
    <w:p>
      <w:pPr>
        <w:pStyle w:val="Heading3"/>
        <w:numPr>
          <w:ilvl w:val="0"/>
          <w:numId w:val="204"/>
        </w:numPr>
      </w:pPr>
      <w:r>
        <w:rPr/>
        <w:t>Maturation psychologique :</w:t>
      </w:r>
    </w:p>
    <w:p>
      <w:pPr/>
      <w:r>
        <w:rPr/>
        <w:t>En relation avec l’expérience visuelle</w:t>
      </w:r>
    </w:p>
    <w:p>
      <w:pPr>
        <w:numPr>
          <w:ilvl w:val="0"/>
          <w:numId w:val="161"/>
        </w:numPr>
      </w:pPr>
      <w:r>
        <w:rPr/>
        <w:t xml:space="preserve">Mécanisme de l’amblyopie d’origine corticale : absence de stimulus visuel entraîne des modifications corticales anatomiques (aux dépens de </w:t>
      </w:r>
      <w:r>
        <w:rPr/>
        <w:t>l’œil occlus</w:t>
      </w:r>
      <w:r>
        <w:rPr/>
        <w:t xml:space="preserve">, et au bénéfice de </w:t>
      </w:r>
      <w:r>
        <w:rPr/>
        <w:t>l’œil non</w:t>
      </w:r>
      <w:r>
        <w:rPr/>
        <w:t xml:space="preserve"> occlus)</w:t>
      </w:r>
      <w:r>
        <w:rPr/>
      </w:r>
    </w:p>
    <w:p>
      <w:pPr/>
    </w:p>
    <w:p>
      <w:pPr>
        <w:pStyle w:val="Heading2"/>
        <w:numPr>
          <w:ilvl w:val="0"/>
          <w:numId w:val="203"/>
        </w:numPr>
      </w:pPr>
      <w:r>
        <w:rPr/>
        <w:t>DEVELOPPEMENT VISUEL DE L’ENFANT</w:t>
      </w:r>
    </w:p>
    <w:p>
      <w:pPr>
        <w:numPr>
          <w:ilvl w:val="0"/>
          <w:numId w:val="162"/>
        </w:numPr>
      </w:pPr>
      <w:r>
        <w:rPr/>
        <w:t xml:space="preserve">Naissance : </w:t>
      </w:r>
    </w:p>
    <w:p>
      <w:pPr>
        <w:numPr>
          <w:ilvl w:val="1"/>
          <w:numId w:val="162"/>
        </w:numPr>
      </w:pPr>
      <w:r>
        <w:rPr/>
        <w:t>Réaction à une lumière vive</w:t>
      </w:r>
    </w:p>
    <w:p>
      <w:pPr>
        <w:numPr>
          <w:ilvl w:val="1"/>
          <w:numId w:val="162"/>
        </w:numPr>
      </w:pPr>
      <w:r>
        <w:rPr>
          <w:b/>
        </w:rPr>
        <w:t>RPM présent</w:t>
      </w:r>
    </w:p>
    <w:p>
      <w:pPr>
        <w:numPr>
          <w:ilvl w:val="0"/>
          <w:numId w:val="162"/>
        </w:numPr>
      </w:pPr>
      <w:r>
        <w:rPr/>
        <w:t xml:space="preserve">1 mois : </w:t>
      </w:r>
    </w:p>
    <w:p>
      <w:pPr>
        <w:numPr>
          <w:ilvl w:val="1"/>
          <w:numId w:val="162"/>
        </w:numPr>
      </w:pPr>
      <w:r>
        <w:rPr>
          <w:b/>
        </w:rPr>
        <w:t>Fixation et poursuite à la lumière vive</w:t>
      </w:r>
      <w:r>
        <w:rPr/>
      </w:r>
    </w:p>
    <w:p>
      <w:pPr>
        <w:numPr>
          <w:ilvl w:val="1"/>
          <w:numId w:val="162"/>
        </w:numPr>
      </w:pPr>
      <w:r>
        <w:rPr/>
        <w:t>Puis, fixation d’un visage à une faible distance de 20 à 50 cm et le bébé commence à suivre du regard</w:t>
      </w:r>
      <w:r>
        <w:rPr/>
        <w:br/>
      </w:r>
    </w:p>
    <w:p>
      <w:pPr>
        <w:numPr>
          <w:ilvl w:val="0"/>
          <w:numId w:val="162"/>
        </w:numPr>
      </w:pPr>
      <w:r>
        <w:rPr/>
        <w:t>3-4 mois :</w:t>
      </w:r>
    </w:p>
    <w:p>
      <w:pPr>
        <w:numPr>
          <w:ilvl w:val="1"/>
          <w:numId w:val="162"/>
        </w:numPr>
      </w:pPr>
      <w:r>
        <w:rPr>
          <w:b/>
        </w:rPr>
        <w:t>Réflexe de fusion et coordination binoculaire</w:t>
      </w:r>
    </w:p>
    <w:p>
      <w:pPr>
        <w:numPr>
          <w:ilvl w:val="1"/>
          <w:numId w:val="162"/>
        </w:numPr>
      </w:pPr>
      <w:r>
        <w:rPr/>
        <w:t xml:space="preserve">Il commence à visualiser les couleurs : </w:t>
      </w:r>
      <w:r>
        <w:rPr>
          <w:b/>
        </w:rPr>
        <w:t>Le rouge +++</w:t>
      </w:r>
      <w:r>
        <w:rPr>
          <w:b/>
        </w:rPr>
        <w:br/>
      </w:r>
    </w:p>
    <w:p>
      <w:pPr>
        <w:numPr>
          <w:ilvl w:val="0"/>
          <w:numId w:val="162"/>
        </w:numPr>
      </w:pPr>
      <w:r>
        <w:rPr/>
        <w:t xml:space="preserve">5 mois : coordination du réflexe </w:t>
      </w:r>
      <w:r>
        <w:rPr/>
        <w:t xml:space="preserve">œil </w:t>
      </w:r>
      <w:r>
        <w:rPr/>
        <w:t>-tête-main : “il attrape les objets”</w:t>
      </w:r>
      <w:r>
        <w:rPr/>
        <w:br/>
      </w:r>
    </w:p>
    <w:p>
      <w:pPr>
        <w:numPr>
          <w:ilvl w:val="0"/>
          <w:numId w:val="162"/>
        </w:numPr>
      </w:pPr>
      <w:r>
        <w:rPr/>
        <w:t>6 mois</w:t>
      </w:r>
    </w:p>
    <w:p>
      <w:pPr>
        <w:numPr>
          <w:ilvl w:val="1"/>
          <w:numId w:val="162"/>
        </w:numPr>
      </w:pPr>
      <w:r>
        <w:rPr>
          <w:b/>
        </w:rPr>
        <w:t>Vision stéréoscopique</w:t>
      </w:r>
      <w:r>
        <w:rPr/>
        <w:t xml:space="preserve"> (</w:t>
      </w:r>
      <w:r>
        <w:rPr>
          <w:i/>
        </w:rPr>
        <w:t>vision tridimensionnelle, vision en relief)</w:t>
      </w:r>
    </w:p>
    <w:p>
      <w:pPr>
        <w:numPr>
          <w:ilvl w:val="1"/>
          <w:numId w:val="162"/>
        </w:numPr>
      </w:pPr>
      <w:r>
        <w:rPr/>
        <w:t>La convergence et la poursuite oculaires sont normales</w:t>
      </w:r>
    </w:p>
    <w:p>
      <w:pPr>
        <w:numPr>
          <w:ilvl w:val="1"/>
          <w:numId w:val="162"/>
        </w:numPr>
      </w:pPr>
      <w:r>
        <w:rPr>
          <w:b/>
        </w:rPr>
        <w:t>Acuité visuelle = 2/10ème</w:t>
      </w:r>
      <w:r>
        <w:rPr>
          <w:b/>
        </w:rPr>
        <w:br/>
      </w:r>
    </w:p>
    <w:p>
      <w:pPr>
        <w:numPr>
          <w:ilvl w:val="0"/>
          <w:numId w:val="162"/>
        </w:numPr>
      </w:pPr>
      <w:r>
        <w:rPr>
          <w:b/>
        </w:rPr>
        <w:t>1 an :</w:t>
      </w:r>
      <w:r>
        <w:rPr/>
        <w:t xml:space="preserve"> acuité visuelle atteint 4/10</w:t>
      </w:r>
    </w:p>
    <w:p>
      <w:pPr>
        <w:numPr>
          <w:ilvl w:val="0"/>
          <w:numId w:val="162"/>
        </w:numPr>
      </w:pPr>
      <w:r>
        <w:rPr/>
        <w:t>3 ans : 7/10</w:t>
      </w:r>
      <w:r>
        <w:rPr/>
        <w:t>ème</w:t>
      </w:r>
    </w:p>
    <w:p>
      <w:pPr>
        <w:numPr>
          <w:ilvl w:val="0"/>
          <w:numId w:val="162"/>
        </w:numPr>
      </w:pPr>
      <w:r>
        <w:rPr>
          <w:b/>
        </w:rPr>
        <w:t xml:space="preserve">5ans - 6 ans : </w:t>
      </w:r>
      <w:r>
        <w:rPr/>
        <w:t xml:space="preserve">acuité visuelle de </w:t>
      </w:r>
      <w:r>
        <w:rPr>
          <w:b/>
        </w:rPr>
        <w:t>10/10</w:t>
      </w:r>
      <w:r>
        <w:rPr>
          <w:b/>
        </w:rPr>
        <w:t>ème</w:t>
      </w:r>
    </w:p>
    <w:p>
      <w:pPr/>
    </w:p>
    <w:p>
      <w:pPr>
        <w:pStyle w:val="Heading2"/>
        <w:numPr>
          <w:ilvl w:val="0"/>
          <w:numId w:val="203"/>
        </w:numPr>
      </w:pPr>
      <w:r>
        <w:rPr/>
        <w:t>FACTEURS DE RISQUE D’UN DEVELOPPEMENT VISUEL ANORMAL</w:t>
      </w:r>
    </w:p>
    <w:p>
      <w:pPr>
        <w:pStyle w:val="Heading3"/>
        <w:numPr>
          <w:ilvl w:val="0"/>
          <w:numId w:val="205"/>
        </w:numPr>
      </w:pPr>
      <w:r>
        <w:rPr/>
        <w:t>Antécédents personnels</w:t>
      </w:r>
    </w:p>
    <w:p>
      <w:pPr>
        <w:numPr>
          <w:ilvl w:val="0"/>
          <w:numId w:val="163"/>
        </w:numPr>
      </w:pPr>
      <w:r>
        <w:rPr/>
        <w:t xml:space="preserve">Prématurité : </w:t>
      </w:r>
    </w:p>
    <w:p>
      <w:pPr>
        <w:numPr>
          <w:ilvl w:val="1"/>
          <w:numId w:val="163"/>
        </w:numPr>
      </w:pPr>
      <w:r>
        <w:rPr/>
        <w:t>Réanimation néo-natale +++</w:t>
      </w:r>
    </w:p>
    <w:p>
      <w:pPr>
        <w:numPr>
          <w:ilvl w:val="1"/>
          <w:numId w:val="163"/>
        </w:numPr>
      </w:pPr>
      <w:r>
        <w:rPr/>
        <w:t>Poids de naissance &lt; 1500 g</w:t>
      </w:r>
    </w:p>
    <w:p>
      <w:pPr>
        <w:numPr>
          <w:ilvl w:val="0"/>
          <w:numId w:val="163"/>
        </w:numPr>
      </w:pPr>
      <w:r>
        <w:rPr/>
        <w:t>Surdité</w:t>
      </w:r>
    </w:p>
    <w:p>
      <w:pPr>
        <w:numPr>
          <w:ilvl w:val="0"/>
          <w:numId w:val="163"/>
        </w:numPr>
      </w:pPr>
      <w:r>
        <w:rPr/>
        <w:t xml:space="preserve">Troubles </w:t>
      </w:r>
      <w:r>
        <w:rPr/>
        <w:t>neuromoteurs</w:t>
      </w:r>
      <w:r>
        <w:rPr/>
        <w:t>, infirmité motrice et cérébrale (IMC)</w:t>
      </w:r>
    </w:p>
    <w:p>
      <w:pPr>
        <w:numPr>
          <w:ilvl w:val="0"/>
          <w:numId w:val="163"/>
        </w:numPr>
      </w:pPr>
      <w:r>
        <w:rPr/>
        <w:t>Anomalies chromosomiques (trisomie 21)</w:t>
      </w:r>
    </w:p>
    <w:p>
      <w:pPr>
        <w:numPr>
          <w:ilvl w:val="0"/>
          <w:numId w:val="163"/>
        </w:numPr>
      </w:pPr>
      <w:r>
        <w:rPr/>
        <w:t xml:space="preserve">Craniosténoses, dysostoses </w:t>
      </w:r>
      <w:r>
        <w:rPr/>
        <w:t>crânio-faciales</w:t>
      </w:r>
    </w:p>
    <w:p>
      <w:pPr>
        <w:numPr>
          <w:ilvl w:val="0"/>
          <w:numId w:val="163"/>
        </w:numPr>
      </w:pPr>
      <w:r>
        <w:rPr/>
        <w:t>Embryofoetopathies</w:t>
      </w:r>
      <w:r>
        <w:rPr/>
        <w:t xml:space="preserve"> : toxoplasmose...</w:t>
      </w:r>
    </w:p>
    <w:p>
      <w:pPr>
        <w:numPr>
          <w:ilvl w:val="0"/>
          <w:numId w:val="163"/>
        </w:numPr>
      </w:pPr>
      <w:r>
        <w:rPr/>
        <w:t>Exposition in utero à la cocaïne et l’alcool</w:t>
      </w:r>
    </w:p>
    <w:p>
      <w:pPr/>
    </w:p>
    <w:p>
      <w:pPr>
        <w:pStyle w:val="Heading3"/>
        <w:numPr>
          <w:ilvl w:val="0"/>
          <w:numId w:val="205"/>
        </w:numPr>
      </w:pPr>
      <w:r>
        <w:rPr/>
        <w:t>Antécédents familiaux</w:t>
      </w:r>
    </w:p>
    <w:p>
      <w:pPr>
        <w:numPr>
          <w:ilvl w:val="0"/>
          <w:numId w:val="164"/>
        </w:numPr>
      </w:pPr>
      <w:r>
        <w:rPr/>
        <w:t>Strabisme</w:t>
      </w:r>
    </w:p>
    <w:p>
      <w:pPr>
        <w:numPr>
          <w:ilvl w:val="0"/>
          <w:numId w:val="164"/>
        </w:numPr>
      </w:pPr>
      <w:r>
        <w:rPr/>
        <w:t>Troubles sévères de la réfraction (myopie, astigmatisme)</w:t>
      </w:r>
    </w:p>
    <w:p>
      <w:pPr>
        <w:numPr>
          <w:ilvl w:val="0"/>
          <w:numId w:val="164"/>
        </w:numPr>
      </w:pPr>
      <w:r>
        <w:rPr/>
        <w:t>Amblyopie</w:t>
      </w:r>
    </w:p>
    <w:p>
      <w:pPr>
        <w:numPr>
          <w:ilvl w:val="0"/>
          <w:numId w:val="164"/>
        </w:numPr>
      </w:pPr>
      <w:r>
        <w:rPr/>
        <w:t>Maladie ophtalmologique héréditaire : cataracte congénitale, glaucome, ...</w:t>
      </w:r>
    </w:p>
    <w:p>
      <w:pPr/>
    </w:p>
    <w:p>
      <w:pPr>
        <w:pStyle w:val="Heading2"/>
        <w:numPr>
          <w:ilvl w:val="0"/>
          <w:numId w:val="203"/>
        </w:numPr>
      </w:pPr>
      <w:r>
        <w:rPr/>
        <w:t>TEST ET MESURE DE L’ACUITE VISUELLE</w:t>
      </w:r>
    </w:p>
    <w:p>
      <w:pPr>
        <w:pStyle w:val="Heading3"/>
        <w:numPr>
          <w:ilvl w:val="0"/>
          <w:numId w:val="206"/>
        </w:numPr>
      </w:pPr>
      <w:r>
        <w:rPr/>
        <w:t xml:space="preserve">Acuité par la méthode du regard préférentiel dit “bébé vision” (en âge </w:t>
      </w:r>
      <w:r>
        <w:rPr/>
        <w:t>préverbal</w:t>
      </w:r>
      <w:r>
        <w:rPr/>
        <w:t xml:space="preserve"> : 6-18 mois</w:t>
      </w:r>
    </w:p>
    <w:p>
      <w:pPr>
        <w:numPr>
          <w:ilvl w:val="0"/>
          <w:numId w:val="165"/>
        </w:numPr>
      </w:pPr>
      <w:r>
        <w:rPr/>
        <w:t>Ce n’est pas un test vrai d’acuité visuelle</w:t>
      </w:r>
    </w:p>
    <w:p>
      <w:pPr>
        <w:numPr>
          <w:ilvl w:val="0"/>
          <w:numId w:val="165"/>
        </w:numPr>
      </w:pPr>
      <w:r>
        <w:rPr/>
        <w:t>Principe : sur un fond homogène, le regard de l’enfant est attiré par des stimuli structurés dont on fait varier la résolution</w:t>
      </w:r>
      <w:r>
        <w:rPr/>
        <w:br/>
      </w:r>
    </w:p>
    <w:p>
      <w:pPr>
        <w:numPr>
          <w:ilvl w:val="0"/>
          <w:numId w:val="165"/>
        </w:numPr>
      </w:pPr>
      <w:r>
        <w:rPr/>
        <w:t>Intérêt : comparer les résultats des deux yeux afin de dépister une amblyopie</w:t>
      </w:r>
    </w:p>
    <w:p>
      <w:pPr/>
    </w:p>
    <w:p>
      <w:pPr>
        <w:pStyle w:val="Heading3"/>
        <w:numPr>
          <w:ilvl w:val="0"/>
          <w:numId w:val="206"/>
        </w:numPr>
      </w:pPr>
      <w:r>
        <w:rPr/>
        <w:t xml:space="preserve">Acuité par la méthode du regard préférentiel dit “bébé vision” (en âge </w:t>
      </w:r>
      <w:r>
        <w:rPr/>
        <w:t>préverbal</w:t>
      </w:r>
      <w:r>
        <w:rPr/>
        <w:t xml:space="preserve"> : 6-18 mois</w:t>
      </w:r>
    </w:p>
    <w:p>
      <w:pPr>
        <w:numPr>
          <w:ilvl w:val="0"/>
          <w:numId w:val="165"/>
        </w:numPr>
      </w:pPr>
      <w:r>
        <w:rPr/>
        <w:t>Ce n’est pas un test vrai d’acuité visuelle</w:t>
      </w:r>
    </w:p>
    <w:p>
      <w:pPr>
        <w:numPr>
          <w:ilvl w:val="0"/>
          <w:numId w:val="165"/>
        </w:numPr>
      </w:pPr>
      <w:r>
        <w:rPr/>
        <w:t>Principe : sur un fond homogène, le regard de l’enfant est attiré par des stimuli structurés dont on fait varier la résolution</w:t>
      </w:r>
      <w:r>
        <w:rPr/>
        <w:br/>
      </w:r>
    </w:p>
    <w:p>
      <w:pPr>
        <w:numPr>
          <w:ilvl w:val="0"/>
          <w:numId w:val="165"/>
        </w:numPr>
      </w:pPr>
      <w:r>
        <w:rPr/>
        <w:t>Intérêt : comparer les résultats des deux yeux afin de dépister une amblyopie</w:t>
      </w:r>
    </w:p>
    <w:p>
      <w:pPr/>
    </w:p>
    <w:p>
      <w:pPr>
        <w:pStyle w:val="Heading3"/>
        <w:numPr>
          <w:ilvl w:val="0"/>
          <w:numId w:val="206"/>
        </w:numPr>
      </w:pPr>
      <w:r>
        <w:rPr/>
        <w:t>Tests d’acuité pour l’enfant en âge verbal (à partir de 18 mois)</w:t>
      </w:r>
    </w:p>
    <w:p>
      <w:pPr>
        <w:numPr>
          <w:ilvl w:val="0"/>
          <w:numId w:val="166"/>
        </w:numPr>
      </w:pPr>
      <w:r>
        <w:rPr/>
        <w:t xml:space="preserve">Utilisation des images familières (tests de </w:t>
      </w:r>
      <w:r>
        <w:rPr/>
        <w:t>Rossano</w:t>
      </w:r>
      <w:r>
        <w:rPr/>
        <w:t xml:space="preserve">, de </w:t>
      </w:r>
      <w:r>
        <w:rPr/>
        <w:t>Pigassou</w:t>
      </w:r>
      <w:r>
        <w:rPr/>
        <w:t>)</w:t>
      </w:r>
      <w:r>
        <w:rPr/>
        <w:br/>
      </w:r>
    </w:p>
    <w:p>
      <w:pPr>
        <w:numPr>
          <w:ilvl w:val="0"/>
          <w:numId w:val="166"/>
        </w:numPr>
      </w:pPr>
      <w:r>
        <w:rPr/>
        <w:t xml:space="preserve">La coopération est indispensable et doit être stimulée par une approche sous forme de jeu </w:t>
      </w:r>
      <w:r>
        <w:rPr>
          <w:b/>
        </w:rPr>
        <w:t>incluant les parents</w:t>
      </w:r>
      <w:r>
        <w:rPr>
          <w:b/>
        </w:rPr>
        <w:br/>
      </w:r>
    </w:p>
    <w:p>
      <w:pPr>
        <w:pStyle w:val="Heading3"/>
        <w:numPr>
          <w:ilvl w:val="0"/>
          <w:numId w:val="206"/>
        </w:numPr>
      </w:pPr>
      <w:r>
        <w:rPr/>
        <w:t>Puis tests d’acuité identiques aux adultes (à partir de 5 ans)</w:t>
      </w:r>
    </w:p>
    <w:p>
      <w:pPr>
        <w:numPr>
          <w:ilvl w:val="0"/>
          <w:numId w:val="167"/>
        </w:numPr>
      </w:pPr>
      <w:r>
        <w:rPr/>
        <w:t xml:space="preserve">Des chiffres et des lettres (échelle de </w:t>
      </w:r>
      <w:r>
        <w:rPr/>
        <w:t>Monoyer</w:t>
      </w:r>
      <w:r>
        <w:rPr/>
        <w:t>) dès que l’enfant peut coopérer</w:t>
      </w:r>
    </w:p>
    <w:p>
      <w:pPr/>
    </w:p>
    <w:p>
      <w:pPr>
        <w:pStyle w:val="Heading2"/>
        <w:numPr>
          <w:ilvl w:val="0"/>
          <w:numId w:val="203"/>
        </w:numPr>
      </w:pPr>
      <w:r>
        <w:rPr/>
        <w:t>SIGNES DE MALVOYANCE GRAVE CHEZ UN NOURRISSON +++</w:t>
      </w:r>
    </w:p>
    <w:p>
      <w:pPr>
        <w:numPr>
          <w:ilvl w:val="0"/>
          <w:numId w:val="168"/>
        </w:numPr>
      </w:pPr>
      <w:r>
        <w:rPr/>
        <w:t>Errance du regard</w:t>
      </w:r>
    </w:p>
    <w:p>
      <w:pPr>
        <w:numPr>
          <w:ilvl w:val="0"/>
          <w:numId w:val="168"/>
        </w:numPr>
      </w:pPr>
      <w:r>
        <w:rPr/>
        <w:t>Nystagmus bilatéral</w:t>
      </w:r>
    </w:p>
    <w:p>
      <w:pPr>
        <w:numPr>
          <w:ilvl w:val="0"/>
          <w:numId w:val="168"/>
        </w:numPr>
      </w:pPr>
      <w:r>
        <w:rPr/>
        <w:t xml:space="preserve">Signe de </w:t>
      </w:r>
      <w:r>
        <w:rPr/>
        <w:t>Franceschetti</w:t>
      </w:r>
      <w:r>
        <w:rPr/>
        <w:t xml:space="preserve"> : “réflexe </w:t>
      </w:r>
      <w:r>
        <w:rPr/>
        <w:t>digito</w:t>
      </w:r>
      <w:r>
        <w:rPr/>
        <w:t>-oculaire”</w:t>
      </w:r>
      <w:r>
        <w:rPr/>
      </w:r>
    </w:p>
    <w:p>
      <w:pPr>
        <w:numPr>
          <w:ilvl w:val="0"/>
          <w:numId w:val="168"/>
        </w:numPr>
      </w:pPr>
      <w:r>
        <w:rPr/>
        <w:t>Signe de l’éventail : le petit enfant se passe les mains devant les yeux pour se faire alterner “jour-nuit”</w:t>
      </w:r>
    </w:p>
    <w:p>
      <w:pPr>
        <w:numPr>
          <w:ilvl w:val="0"/>
          <w:numId w:val="168"/>
        </w:numPr>
      </w:pPr>
      <w:r>
        <w:rPr/>
        <w:t xml:space="preserve">Strabisme : perte de parallélisme de l’axe visuel </w:t>
      </w:r>
    </w:p>
    <w:p>
      <w:pPr>
        <w:numPr>
          <w:ilvl w:val="1"/>
          <w:numId w:val="168"/>
        </w:numPr>
      </w:pPr>
      <w:r>
        <w:rPr>
          <w:i/>
        </w:rPr>
        <w:t>Si divergent : référer en urgence en service spécialisée ++</w:t>
      </w:r>
    </w:p>
    <w:p>
      <w:pPr/>
    </w:p>
    <w:p>
      <w:pPr>
        <w:pStyle w:val="Heading2"/>
        <w:numPr>
          <w:ilvl w:val="0"/>
          <w:numId w:val="203"/>
        </w:numPr>
      </w:pPr>
      <w:r>
        <w:rPr/>
        <w:t>QUELS SONT LES AUTRES SIGNES</w:t>
      </w:r>
    </w:p>
    <w:p>
      <w:pPr>
        <w:numPr>
          <w:ilvl w:val="0"/>
          <w:numId w:val="169"/>
        </w:numPr>
      </w:pPr>
      <w:r>
        <w:rPr/>
        <w:t>Leucocorie</w:t>
      </w:r>
      <w:r>
        <w:rPr/>
        <w:t xml:space="preserve"> ou pupille blanche : cataracte congénitale, rétinoblastome, ...</w:t>
      </w:r>
    </w:p>
    <w:p>
      <w:pPr>
        <w:numPr>
          <w:ilvl w:val="0"/>
          <w:numId w:val="169"/>
        </w:numPr>
      </w:pPr>
      <w:r>
        <w:rPr/>
        <w:t>Malformation palpébrale et/ou des annexes</w:t>
      </w:r>
    </w:p>
    <w:p>
      <w:pPr>
        <w:numPr>
          <w:ilvl w:val="0"/>
          <w:numId w:val="169"/>
        </w:numPr>
      </w:pPr>
      <w:r>
        <w:rPr/>
        <w:t xml:space="preserve">Anomalie de la cornée (microphtalmie, </w:t>
      </w:r>
      <w:r>
        <w:rPr/>
        <w:t>mégalocornée</w:t>
      </w:r>
      <w:r>
        <w:rPr/>
        <w:t xml:space="preserve"> du glaucome congénital, opacité)</w:t>
      </w:r>
    </w:p>
    <w:p>
      <w:pPr>
        <w:numPr>
          <w:ilvl w:val="0"/>
          <w:numId w:val="169"/>
        </w:numPr>
      </w:pPr>
      <w:r>
        <w:rPr/>
        <w:t xml:space="preserve">Anomalie de l’iris et de la pupille : colobome ou </w:t>
      </w:r>
      <w:r>
        <w:rPr/>
        <w:t>aniridie</w:t>
      </w:r>
      <w:r>
        <w:rPr/>
        <w:t>, ectopie, ....</w:t>
      </w:r>
    </w:p>
    <w:p>
      <w:pPr>
        <w:numPr>
          <w:ilvl w:val="0"/>
          <w:numId w:val="169"/>
        </w:numPr>
      </w:pPr>
      <w:r>
        <w:rPr/>
        <w:t xml:space="preserve">Colobome </w:t>
      </w:r>
      <w:r>
        <w:rPr/>
        <w:t>chorio</w:t>
      </w:r>
      <w:r>
        <w:rPr/>
        <w:t>-rétinien, cicatrices rétiniennes, ...</w:t>
      </w:r>
    </w:p>
    <w:p>
      <w:pPr/>
    </w:p>
    <w:p>
      <w:pPr>
        <w:pStyle w:val="Heading2"/>
        <w:numPr>
          <w:ilvl w:val="0"/>
          <w:numId w:val="203"/>
        </w:numPr>
      </w:pPr>
      <w:r>
        <w:rPr/>
        <w:t>LES AUTRES PATHOLOGIES OCULAIRES</w:t>
      </w:r>
    </w:p>
    <w:p>
      <w:pPr>
        <w:numPr>
          <w:ilvl w:val="0"/>
          <w:numId w:val="170"/>
        </w:numPr>
      </w:pPr>
      <w:r>
        <w:rPr/>
        <w:t xml:space="preserve">Infections maternelles transmises au </w:t>
      </w:r>
      <w:r>
        <w:rPr/>
        <w:t>fœtus</w:t>
      </w:r>
      <w:r>
        <w:rPr/>
        <w:t xml:space="preserve"> (transplacentaire, lors du passage par la filière génitale) : toxoplasmose congénitale, conjonctivite gonococcique, ...</w:t>
      </w:r>
    </w:p>
    <w:p>
      <w:pPr>
        <w:numPr>
          <w:ilvl w:val="0"/>
          <w:numId w:val="170"/>
        </w:numPr>
      </w:pPr>
      <w:r>
        <w:rPr/>
        <w:t>Maladie des enfants secoués ou battus (présence d’hémorragies rétiniennes)</w:t>
      </w:r>
    </w:p>
    <w:p>
      <w:pPr>
        <w:numPr>
          <w:ilvl w:val="0"/>
          <w:numId w:val="170"/>
        </w:numPr>
      </w:pPr>
      <w:r>
        <w:rPr/>
        <w:t>Rétinopathie des prématurés ...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171"/>
        </w:numPr>
      </w:pPr>
      <w:r>
        <w:rPr/>
        <w:t>L’indifférence visuelle ou désintérêt peut correspondre à un simple retard de maturation ou à une cécité congénitale organique</w:t>
      </w:r>
      <w:r>
        <w:rPr/>
        <w:br/>
      </w:r>
    </w:p>
    <w:p>
      <w:pPr>
        <w:numPr>
          <w:ilvl w:val="0"/>
          <w:numId w:val="171"/>
        </w:numPr>
      </w:pPr>
      <w:r>
        <w:rPr/>
        <w:t xml:space="preserve">15 - 20% des enfants &lt; 6ans présentent une anomalie visuelle : </w:t>
      </w:r>
      <w:r>
        <w:rPr>
          <w:b/>
        </w:rPr>
        <w:t>dépistage indispensable +++</w:t>
      </w:r>
    </w:p>
    <w:p>
      <w:pPr>
        <w:numPr>
          <w:ilvl w:val="1"/>
          <w:numId w:val="171"/>
        </w:numPr>
      </w:pPr>
      <w:r>
        <w:rPr/>
        <w:t xml:space="preserve">Entre 9-12 mois : troubles visuels par un examen de la réfraction sous </w:t>
      </w:r>
      <w:r>
        <w:rPr/>
        <w:t>cycloplégique</w:t>
      </w:r>
      <w:r>
        <w:rPr/>
        <w:t xml:space="preserve"> et examen du fond </w:t>
      </w:r>
      <w:r>
        <w:rPr/>
        <w:t>d’œil :</w:t>
      </w:r>
      <w:r>
        <w:rPr/>
        <w:t xml:space="preserve"> amétropies, strabisme, permet de diminuer le risque d’amblyopie</w:t>
      </w:r>
    </w:p>
    <w:p>
      <w:pPr>
        <w:numPr>
          <w:ilvl w:val="1"/>
          <w:numId w:val="171"/>
        </w:numPr>
      </w:pPr>
      <w:r>
        <w:rPr/>
        <w:t>Avant l’âge de 2 mois : traitement optimal d’une cataracte congénitale</w:t>
      </w:r>
    </w:p>
    <w:p>
      <w:pPr>
        <w:numPr>
          <w:ilvl w:val="0"/>
          <w:numId w:val="171"/>
        </w:numPr>
      </w:pPr>
      <w:r>
        <w:rPr/>
        <w:t>Autres causes organiques (rétinoblastome, gliome du nerf optique...)</w:t>
      </w:r>
    </w:p>
    <w:p>
      <w:pPr>
        <w:numPr>
          <w:ilvl w:val="0"/>
          <w:numId w:val="171"/>
        </w:numPr>
      </w:pPr>
      <w:r>
        <w:rPr/>
        <w:t>Prise en charge multidisciplinaire : ophtalmologiste, médecin généraliste, pédiatre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