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GAFA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5"/>
        </w:numPr>
      </w:pPr>
      <w:r>
        <w:rPr/>
        <w:t>Maladie biométrique oculaire, potentiellement cécitante sans traitement</w:t>
      </w:r>
    </w:p>
    <w:p>
      <w:pPr>
        <w:numPr>
          <w:ilvl w:val="0"/>
          <w:numId w:val="5"/>
        </w:numPr>
      </w:pPr>
      <w:r>
        <w:rPr/>
        <w:t>Grave</w:t>
      </w:r>
    </w:p>
    <w:p>
      <w:pPr>
        <w:numPr>
          <w:ilvl w:val="0"/>
          <w:numId w:val="5"/>
        </w:numPr>
      </w:pPr>
      <w:r>
        <w:rPr/>
        <w:t>Constitue une urgence</w:t>
      </w:r>
    </w:p>
    <w:p>
      <w:pPr>
        <w:numPr>
          <w:ilvl w:val="0"/>
          <w:numId w:val="5"/>
        </w:numPr>
      </w:pPr>
      <w:r>
        <w:rPr/>
        <w:t>Hospitalisation</w:t>
      </w:r>
    </w:p>
    <w:p>
      <w:pPr>
        <w:numPr>
          <w:ilvl w:val="0"/>
          <w:numId w:val="5"/>
        </w:numPr>
      </w:pPr>
      <w:r>
        <w:rPr/>
        <w:t xml:space="preserve">Angle </w:t>
      </w:r>
      <w:r>
        <w:rPr/>
        <w:t>irido</w:t>
      </w:r>
      <w:r>
        <w:rPr/>
        <w:t xml:space="preserve">-cornéen (AIC) étroit, CA aplatie, </w:t>
      </w:r>
      <w:r>
        <w:rPr>
          <w:b/>
        </w:rPr>
        <w:t>semi-mydriase</w:t>
      </w:r>
    </w:p>
    <w:p>
      <w:pPr/>
    </w:p>
    <w:p>
      <w:pPr>
        <w:pStyle w:val="Heading2"/>
      </w:pPr>
      <w:r>
        <w:rPr/>
        <w:t>SIGNES</w:t>
      </w:r>
    </w:p>
    <w:p>
      <w:pPr>
        <w:pStyle w:val="Heading3"/>
        <w:numPr>
          <w:ilvl w:val="0"/>
          <w:numId w:val="52"/>
        </w:numPr>
      </w:pPr>
      <w:r>
        <w:rPr/>
        <w:t>Signes fonctionnels</w:t>
      </w:r>
    </w:p>
    <w:p>
      <w:pPr>
        <w:numPr>
          <w:ilvl w:val="0"/>
          <w:numId w:val="9"/>
        </w:numPr>
      </w:pPr>
      <w:r>
        <w:rPr/>
        <w:t xml:space="preserve">Douleurs oculaires et </w:t>
      </w:r>
      <w:r>
        <w:rPr/>
        <w:t>périorbitaires</w:t>
      </w:r>
      <w:r>
        <w:rPr/>
        <w:t xml:space="preserve"> violentes, irradiées vers la région </w:t>
      </w:r>
      <w:r>
        <w:rPr/>
        <w:t>hémi crânienne</w:t>
      </w:r>
    </w:p>
    <w:p>
      <w:pPr>
        <w:numPr>
          <w:ilvl w:val="0"/>
          <w:numId w:val="9"/>
        </w:numPr>
      </w:pPr>
      <w:r>
        <w:rPr/>
        <w:t>Photophobie, larmoiement</w:t>
      </w:r>
    </w:p>
    <w:p>
      <w:pPr>
        <w:numPr>
          <w:ilvl w:val="0"/>
          <w:numId w:val="9"/>
        </w:numPr>
      </w:pPr>
      <w:r>
        <w:rPr/>
        <w:t>Acuité visuelle effondrée</w:t>
      </w:r>
    </w:p>
    <w:p>
      <w:pPr>
        <w:numPr>
          <w:ilvl w:val="0"/>
          <w:numId w:val="9"/>
        </w:numPr>
      </w:pPr>
      <w:r>
        <w:rPr/>
        <w:t>Signes digestifs : nausées, vomissement</w:t>
      </w:r>
    </w:p>
    <w:p>
      <w:pPr/>
    </w:p>
    <w:p>
      <w:pPr>
        <w:pStyle w:val="Heading3"/>
        <w:numPr>
          <w:ilvl w:val="0"/>
          <w:numId w:val="52"/>
        </w:numPr>
      </w:pPr>
      <w:r>
        <w:rPr/>
        <w:t>Signes physiques : Lampe à fente</w:t>
      </w:r>
    </w:p>
    <w:p>
      <w:pPr>
        <w:numPr>
          <w:ilvl w:val="0"/>
          <w:numId w:val="12"/>
        </w:numPr>
      </w:pPr>
      <w:r>
        <w:rPr/>
        <w:t>Cercle péri-</w:t>
      </w:r>
      <w:r>
        <w:rPr/>
        <w:t>kératique</w:t>
      </w:r>
      <w:r>
        <w:rPr/>
      </w:r>
      <w:r>
        <w:rPr/>
        <w:t xml:space="preserve"> </w:t>
      </w:r>
    </w:p>
    <w:p>
      <w:pPr>
        <w:numPr>
          <w:ilvl w:val="0"/>
          <w:numId w:val="12"/>
        </w:numPr>
      </w:pPr>
      <w:r>
        <w:rPr/>
        <w:t>Œdème</w:t>
      </w:r>
      <w:r>
        <w:rPr/>
        <w:t xml:space="preserve"> de la cornée -&gt; Opaque, </w:t>
      </w:r>
      <w:r>
        <w:rPr/>
        <w:t>Œil</w:t>
      </w:r>
      <w:r>
        <w:rPr/>
        <w:t xml:space="preserve"> glauque</w:t>
      </w:r>
    </w:p>
    <w:p>
      <w:pPr>
        <w:numPr>
          <w:ilvl w:val="0"/>
          <w:numId w:val="12"/>
        </w:numPr>
      </w:pPr>
      <w:r>
        <w:rPr/>
        <w:t>CA aplatie / étroite</w:t>
      </w:r>
    </w:p>
    <w:p>
      <w:pPr>
        <w:numPr>
          <w:ilvl w:val="0"/>
          <w:numId w:val="12"/>
        </w:numPr>
      </w:pPr>
      <w:r>
        <w:rPr>
          <w:b/>
        </w:rPr>
        <w:t>Pupille en 1/2 mydriase aréflexique</w:t>
      </w:r>
    </w:p>
    <w:p>
      <w:pPr>
        <w:numPr>
          <w:ilvl w:val="0"/>
          <w:numId w:val="12"/>
        </w:numPr>
      </w:pPr>
      <w:r>
        <w:rPr>
          <w:b/>
        </w:rPr>
        <w:t>Œil</w:t>
      </w:r>
      <w:r>
        <w:rPr>
          <w:b/>
        </w:rPr>
        <w:t xml:space="preserve"> dur, bille de verre à la palpation </w:t>
      </w:r>
      <w:r>
        <w:rPr>
          <w:b/>
        </w:rPr>
        <w:t>bidigitale</w:t>
      </w:r>
    </w:p>
    <w:p>
      <w:pPr>
        <w:numPr>
          <w:ilvl w:val="0"/>
          <w:numId w:val="12"/>
        </w:numPr>
      </w:pPr>
      <w:r>
        <w:rPr>
          <w:b/>
        </w:rPr>
        <w:t>PIO élevée jusqu’à 60 mmHg</w:t>
      </w:r>
      <w:r>
        <w:rPr/>
      </w:r>
    </w:p>
    <w:p>
      <w:pPr>
        <w:numPr>
          <w:ilvl w:val="0"/>
          <w:numId w:val="12"/>
        </w:numPr>
      </w:pPr>
      <w:r>
        <w:rPr/>
        <w:t xml:space="preserve">AIC étroit à la </w:t>
      </w:r>
      <w:r>
        <w:rPr/>
        <w:t>gonoscopie</w:t>
      </w:r>
      <w:r>
        <w:rPr/>
        <w:br/>
      </w:r>
    </w:p>
    <w:p>
      <w:pPr>
        <w:numPr>
          <w:ilvl w:val="0"/>
          <w:numId w:val="12"/>
        </w:numPr>
      </w:pPr>
      <w:r>
        <w:rPr/>
        <w:t>Examen de l’</w:t>
      </w:r>
      <w:r>
        <w:rPr/>
        <w:t>œil</w:t>
      </w:r>
      <w:r>
        <w:rPr/>
        <w:t xml:space="preserve"> adelphe +++</w:t>
      </w:r>
    </w:p>
    <w:p>
      <w:pPr/>
    </w:p>
    <w:p>
      <w:pPr>
        <w:pStyle w:val="Heading2"/>
      </w:pPr>
      <w:r>
        <w:rPr/>
        <w:t>DIAGNOSTIC</w:t>
      </w:r>
    </w:p>
    <w:p>
      <w:pPr>
        <w:pStyle w:val="Heading3"/>
        <w:numPr>
          <w:ilvl w:val="0"/>
          <w:numId w:val="53"/>
        </w:numPr>
      </w:pPr>
      <w:r>
        <w:rPr/>
        <w:t>DIAGNOSTIC POSITIF : Clinique ++</w:t>
      </w:r>
    </w:p>
    <w:p>
      <w:pPr>
        <w:numPr>
          <w:ilvl w:val="0"/>
          <w:numId w:val="39"/>
        </w:numPr>
      </w:pPr>
      <w:r>
        <w:rPr/>
        <w:t>Examen ophtalmologique</w:t>
      </w:r>
    </w:p>
    <w:p>
      <w:pPr>
        <w:numPr>
          <w:ilvl w:val="1"/>
          <w:numId w:val="39"/>
        </w:numPr>
      </w:pPr>
      <w:r>
        <w:rPr/>
        <w:t>Interrogatoire</w:t>
      </w:r>
    </w:p>
    <w:p>
      <w:pPr>
        <w:numPr>
          <w:ilvl w:val="1"/>
          <w:numId w:val="39"/>
        </w:numPr>
      </w:pPr>
      <w:r>
        <w:rPr/>
        <w:t>Mesure de l’AV</w:t>
      </w:r>
    </w:p>
    <w:p>
      <w:pPr>
        <w:numPr>
          <w:ilvl w:val="1"/>
          <w:numId w:val="39"/>
        </w:numPr>
      </w:pPr>
      <w:r>
        <w:rPr/>
        <w:t>Examen à la lampe à fente</w:t>
      </w:r>
    </w:p>
    <w:p>
      <w:pPr>
        <w:numPr>
          <w:ilvl w:val="1"/>
          <w:numId w:val="39"/>
        </w:numPr>
      </w:pPr>
      <w:r>
        <w:rPr/>
        <w:t>Mesure de la tension oculaire</w:t>
      </w:r>
    </w:p>
    <w:p>
      <w:pPr/>
    </w:p>
    <w:p>
      <w:pPr>
        <w:pStyle w:val="Heading3"/>
        <w:numPr>
          <w:ilvl w:val="0"/>
          <w:numId w:val="53"/>
        </w:numPr>
      </w:pPr>
      <w:r>
        <w:rPr/>
        <w:t>DIAGNOSTIC DIFFERENTIEL</w:t>
      </w:r>
    </w:p>
    <w:p>
      <w:pPr>
        <w:numPr>
          <w:ilvl w:val="0"/>
          <w:numId w:val="40"/>
        </w:numPr>
      </w:pPr>
      <w:r>
        <w:rPr>
          <w:b/>
        </w:rPr>
        <w:t>ORD</w:t>
      </w:r>
      <w:r>
        <w:rPr/>
      </w:r>
      <w:r>
        <w:rPr>
          <w:b/>
        </w:rPr>
        <w:t xml:space="preserve"> + BAV</w:t>
      </w:r>
      <w:r>
        <w:rPr>
          <w:b/>
        </w:rPr>
        <w:br/>
      </w:r>
    </w:p>
    <w:p>
      <w:pPr>
        <w:numPr>
          <w:ilvl w:val="0"/>
          <w:numId w:val="40"/>
        </w:numPr>
      </w:pPr>
      <w:r>
        <w:rPr/>
        <w:t>Kératite ulcéreuse aiguë</w:t>
      </w:r>
    </w:p>
    <w:p>
      <w:pPr>
        <w:numPr>
          <w:ilvl w:val="0"/>
          <w:numId w:val="40"/>
        </w:numPr>
      </w:pPr>
      <w:r>
        <w:rPr/>
        <w:t>Uvéite antérieure aiguë (UAA)</w:t>
      </w:r>
    </w:p>
    <w:p>
      <w:pPr/>
    </w:p>
    <w:p>
      <w:pPr>
        <w:pStyle w:val="Heading2"/>
      </w:pPr>
      <w:r>
        <w:rPr/>
        <w:t>CAT devant un GAFA</w:t>
      </w:r>
    </w:p>
    <w:p>
      <w:pPr>
        <w:numPr>
          <w:ilvl w:val="0"/>
          <w:numId w:val="41"/>
        </w:numPr>
      </w:pPr>
      <w:r>
        <w:rPr/>
        <w:t>Hospitalisation en urgence</w:t>
      </w:r>
    </w:p>
    <w:p>
      <w:pPr>
        <w:numPr>
          <w:ilvl w:val="0"/>
          <w:numId w:val="41"/>
        </w:numPr>
      </w:pPr>
      <w:r>
        <w:rPr/>
        <w:t>Objectifs thérapeutiques :</w:t>
      </w:r>
    </w:p>
    <w:p>
      <w:pPr>
        <w:numPr>
          <w:ilvl w:val="1"/>
          <w:numId w:val="41"/>
        </w:numPr>
      </w:pPr>
      <w:r>
        <w:rPr/>
        <w:t>Baisser la PIO</w:t>
      </w:r>
    </w:p>
    <w:p>
      <w:pPr>
        <w:numPr>
          <w:ilvl w:val="1"/>
          <w:numId w:val="41"/>
        </w:numPr>
      </w:pPr>
      <w:r>
        <w:rPr/>
        <w:t>Restaurer la vision</w:t>
      </w:r>
    </w:p>
    <w:p>
      <w:pPr>
        <w:numPr>
          <w:ilvl w:val="1"/>
          <w:numId w:val="41"/>
        </w:numPr>
      </w:pPr>
      <w:r>
        <w:rPr/>
        <w:t>Calmer la douleur et le patient</w:t>
      </w:r>
      <w:r>
        <w:rPr/>
        <w:br/>
      </w:r>
    </w:p>
    <w:p>
      <w:pPr>
        <w:pStyle w:val="Heading3"/>
        <w:numPr>
          <w:ilvl w:val="0"/>
          <w:numId w:val="54"/>
        </w:numPr>
      </w:pPr>
      <w:r>
        <w:rPr/>
        <w:t>Traitement médical hypotonisant</w:t>
      </w:r>
    </w:p>
    <w:p>
      <w:pPr>
        <w:numPr>
          <w:ilvl w:val="0"/>
          <w:numId w:val="42"/>
        </w:numPr>
      </w:pPr>
      <w:r>
        <w:rPr/>
        <w:t xml:space="preserve">Mannitol 250 en IV en 20 min, en absence de contre-indication </w:t>
      </w:r>
      <w:r>
        <w:rPr/>
        <w:t>( IR</w:t>
      </w:r>
      <w:r>
        <w:rPr/>
        <w:t xml:space="preserve"> - IC))</w:t>
      </w:r>
    </w:p>
    <w:p>
      <w:pPr>
        <w:numPr>
          <w:ilvl w:val="0"/>
          <w:numId w:val="42"/>
        </w:numPr>
      </w:pPr>
      <w:r>
        <w:rPr/>
        <w:t xml:space="preserve">Sinon </w:t>
      </w:r>
      <w:r>
        <w:rPr>
          <w:b/>
        </w:rPr>
        <w:t>Glycérotone</w:t>
      </w:r>
      <w:r>
        <w:rPr>
          <w:b/>
        </w:rPr>
        <w:t xml:space="preserve"> 1g/kg</w:t>
      </w:r>
    </w:p>
    <w:p>
      <w:pPr>
        <w:numPr>
          <w:ilvl w:val="0"/>
          <w:numId w:val="42"/>
        </w:numPr>
      </w:pPr>
      <w:r>
        <w:rPr>
          <w:b/>
        </w:rPr>
        <w:t xml:space="preserve">Ou </w:t>
      </w:r>
      <w:r>
        <w:rPr>
          <w:b/>
        </w:rPr>
        <w:t>Diamox</w:t>
      </w:r>
      <w:r>
        <w:rPr>
          <w:b/>
        </w:rPr>
        <w:t xml:space="preserve"> </w:t>
      </w:r>
      <w:r>
        <w:rPr>
          <w:b/>
        </w:rPr>
        <w:t>inj</w:t>
      </w:r>
      <w:r>
        <w:rPr>
          <w:b/>
        </w:rPr>
        <w:t xml:space="preserve"> </w:t>
      </w:r>
      <w:r>
        <w:rPr/>
        <w:t xml:space="preserve">1 </w:t>
      </w:r>
      <w:r>
        <w:rPr/>
        <w:t>amp</w:t>
      </w:r>
      <w:r>
        <w:rPr/>
        <w:t xml:space="preserve"> de 500 mg en IV (10 mg/kg IVD) : seul ou en relai après mannitol</w:t>
      </w:r>
    </w:p>
    <w:p>
      <w:pPr/>
    </w:p>
    <w:p>
      <w:pPr>
        <w:pStyle w:val="Heading4"/>
        <w:numPr>
          <w:ilvl w:val="0"/>
          <w:numId w:val="55"/>
        </w:numPr>
      </w:pPr>
      <w:r>
        <w:rPr/>
        <w:t>Si PIO baisse :</w:t>
      </w:r>
    </w:p>
    <w:p>
      <w:pPr>
        <w:numPr>
          <w:ilvl w:val="0"/>
          <w:numId w:val="43"/>
        </w:numPr>
      </w:pPr>
      <w:r>
        <w:rPr/>
        <w:t>Pilocarpine 1% : (myotique)</w:t>
      </w:r>
    </w:p>
    <w:p>
      <w:pPr>
        <w:numPr>
          <w:ilvl w:val="0"/>
          <w:numId w:val="44"/>
        </w:numPr>
      </w:pPr>
      <w:r>
        <w:rPr/>
        <w:t>1 goutte / 15 mn jusqu’à l’obtention de myosis puis 1x 3/j</w:t>
      </w:r>
    </w:p>
    <w:p>
      <w:pPr>
        <w:numPr>
          <w:ilvl w:val="0"/>
          <w:numId w:val="45"/>
        </w:numPr>
      </w:pPr>
      <w:r>
        <w:rPr/>
        <w:t xml:space="preserve">Relais </w:t>
      </w:r>
      <w:r>
        <w:rPr/>
        <w:t>Diamox</w:t>
      </w:r>
      <w:r>
        <w:rPr/>
        <w:t xml:space="preserve"> per os 250mg : 1 </w:t>
      </w:r>
      <w:r>
        <w:rPr/>
        <w:t>cp</w:t>
      </w:r>
      <w:r>
        <w:rPr/>
        <w:t xml:space="preserve"> x3/j</w:t>
      </w:r>
      <w:r>
        <w:rPr/>
        <w:br/>
      </w:r>
    </w:p>
    <w:p>
      <w:pPr>
        <w:pStyle w:val="Heading4"/>
        <w:numPr>
          <w:ilvl w:val="0"/>
          <w:numId w:val="55"/>
        </w:numPr>
      </w:pPr>
      <w:r>
        <w:rPr/>
        <w:t>Si au bout de 30 mn pas de diminution :</w:t>
      </w:r>
    </w:p>
    <w:p>
      <w:pPr>
        <w:numPr>
          <w:ilvl w:val="0"/>
          <w:numId w:val="46"/>
        </w:numPr>
      </w:pPr>
      <w:r>
        <w:rPr/>
        <w:t>Refaire</w:t>
      </w:r>
    </w:p>
    <w:p>
      <w:pPr>
        <w:numPr>
          <w:ilvl w:val="0"/>
          <w:numId w:val="47"/>
        </w:numPr>
      </w:pPr>
      <w:r>
        <w:rPr/>
        <w:t>Agent hyper-osmotique</w:t>
      </w:r>
    </w:p>
    <w:p>
      <w:pPr>
        <w:numPr>
          <w:ilvl w:val="0"/>
          <w:numId w:val="47"/>
        </w:numPr>
      </w:pPr>
      <w:r>
        <w:rPr/>
        <w:t>Mannitol 250 cc en IV pendant 20mn</w:t>
      </w:r>
    </w:p>
    <w:p>
      <w:pPr>
        <w:numPr>
          <w:ilvl w:val="0"/>
          <w:numId w:val="47"/>
        </w:numPr>
      </w:pPr>
      <w:r>
        <w:rPr/>
        <w:t>+ surveillance de la diurèse, pouls, TA, FR</w:t>
      </w:r>
    </w:p>
    <w:p>
      <w:pPr>
        <w:numPr>
          <w:ilvl w:val="0"/>
          <w:numId w:val="47"/>
        </w:numPr>
      </w:pPr>
      <w:r>
        <w:rPr/>
        <w:t>Contrôle de la PIO après 30 mn</w:t>
      </w:r>
    </w:p>
    <w:p>
      <w:pPr/>
    </w:p>
    <w:p>
      <w:pPr>
        <w:pStyle w:val="Heading3"/>
        <w:numPr>
          <w:ilvl w:val="0"/>
          <w:numId w:val="54"/>
        </w:numPr>
      </w:pPr>
      <w:r>
        <w:rPr/>
        <w:t>Iridotomie au laser YAG</w:t>
      </w:r>
    </w:p>
    <w:p>
      <w:pPr>
        <w:numPr>
          <w:ilvl w:val="0"/>
          <w:numId w:val="48"/>
        </w:numPr>
      </w:pPr>
      <w:r>
        <w:rPr/>
        <w:t>Ou iridectomie périphérique chirurgicale</w:t>
      </w:r>
    </w:p>
    <w:p>
      <w:pPr>
        <w:numPr>
          <w:ilvl w:val="0"/>
          <w:numId w:val="49"/>
        </w:numPr>
      </w:pPr>
      <w:r>
        <w:rPr/>
        <w:t xml:space="preserve">Dès la diminution de la pression oculaire et que la transparence </w:t>
      </w:r>
      <w:r>
        <w:rPr/>
        <w:t>du cornet</w:t>
      </w:r>
      <w:r>
        <w:rPr/>
        <w:t xml:space="preserve"> le permet</w:t>
      </w:r>
    </w:p>
    <w:p>
      <w:pPr/>
    </w:p>
    <w:p>
      <w:pPr>
        <w:pStyle w:val="Heading3"/>
        <w:numPr>
          <w:ilvl w:val="0"/>
          <w:numId w:val="54"/>
        </w:numPr>
      </w:pPr>
      <w:r>
        <w:rPr/>
        <w:t>Traitement général</w:t>
      </w:r>
    </w:p>
    <w:p>
      <w:pPr>
        <w:numPr>
          <w:ilvl w:val="0"/>
          <w:numId w:val="50"/>
        </w:numPr>
      </w:pPr>
      <w:r>
        <w:rPr/>
        <w:t>Antalgique : Perfalgan IV</w:t>
      </w:r>
    </w:p>
    <w:p>
      <w:pPr>
        <w:numPr>
          <w:ilvl w:val="0"/>
          <w:numId w:val="51"/>
        </w:numPr>
      </w:pPr>
      <w:r>
        <w:rPr/>
        <w:t>Anxiolytique</w:t>
      </w:r>
    </w:p>
    <w:p>
      <w:pPr/>
    </w:p>
    <w:p>
      <w:pPr>
        <w:pStyle w:val="Heading3"/>
        <w:numPr>
          <w:ilvl w:val="0"/>
          <w:numId w:val="54"/>
        </w:numPr>
      </w:pPr>
      <w:r>
        <w:rPr/>
        <w:t>Traitement de l’</w:t>
      </w:r>
      <w:r>
        <w:rPr/>
        <w:t>œil</w:t>
      </w:r>
      <w:r>
        <w:rPr/>
        <w:t xml:space="preserve"> adelphe</w:t>
      </w:r>
    </w:p>
    <w:p>
      <w:pPr>
        <w:numPr>
          <w:ilvl w:val="0"/>
          <w:numId w:val="2"/>
        </w:numPr>
      </w:pPr>
      <w:r>
        <w:rPr/>
        <w:t>Pilocarpine 1% 1 goutte x3/j</w:t>
      </w:r>
    </w:p>
    <w:p>
      <w:pPr>
        <w:numPr>
          <w:ilvl w:val="0"/>
          <w:numId w:val="2"/>
        </w:numPr>
      </w:pPr>
      <w:r>
        <w:rPr/>
        <w:t>Iridotomie au Laser 1 semaine</w:t>
      </w:r>
      <w:r>
        <w:rPr/>
      </w:r>
      <w:r>
        <w:rPr/>
        <w:t xml:space="preserve"> </w:t>
      </w:r>
    </w:p>
    <w:p>
      <w:pPr/>
    </w:p>
    <w:p>
      <w:pPr/>
      <w:r>
        <w:rPr>
          <w:b/>
          <w:color w:val="FF0000"/>
        </w:rPr>
        <w:t>Dans tous les cas, contre-indication absolue de collyre mydriatique sauf après iridotomie ou iridectomie efficace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