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GLAUCOME CONGENITAL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64"/>
        </w:numPr>
      </w:pPr>
      <w:r>
        <w:rPr/>
        <w:t xml:space="preserve">Le glaucome congénital est dû à la </w:t>
      </w:r>
      <w:r>
        <w:rPr>
          <w:b/>
        </w:rPr>
        <w:t xml:space="preserve">persistance d’une membrane embryonnaire (membrane de </w:t>
      </w:r>
      <w:r>
        <w:rPr>
          <w:b/>
        </w:rPr>
        <w:t>Barkan</w:t>
      </w:r>
      <w:r>
        <w:rPr>
          <w:b/>
        </w:rPr>
        <w:t xml:space="preserve">) </w:t>
      </w:r>
      <w:r>
        <w:rPr/>
        <w:t xml:space="preserve">responsable d’une </w:t>
      </w:r>
      <w:r>
        <w:rPr>
          <w:b/>
        </w:rPr>
        <w:t>obstruction de l’angle</w:t>
      </w:r>
    </w:p>
    <w:p>
      <w:pPr>
        <w:numPr>
          <w:ilvl w:val="0"/>
          <w:numId w:val="64"/>
        </w:numPr>
      </w:pPr>
      <w:r>
        <w:rPr/>
        <w:t>Il est rare, le plus souvent bilatéral, parfois asymétrique, parfois unilatéral strict</w:t>
      </w:r>
      <w:r>
        <w:rPr/>
        <w:br/>
      </w:r>
    </w:p>
    <w:p>
      <w:pPr>
        <w:numPr>
          <w:ilvl w:val="0"/>
          <w:numId w:val="64"/>
        </w:numPr>
      </w:pPr>
      <w:r>
        <w:rPr/>
        <w:t xml:space="preserve">Isolé </w:t>
      </w:r>
    </w:p>
    <w:p>
      <w:pPr>
        <w:numPr>
          <w:ilvl w:val="0"/>
          <w:numId w:val="64"/>
        </w:numPr>
      </w:pPr>
      <w:r>
        <w:rPr/>
        <w:t>Ou associé</w:t>
      </w:r>
    </w:p>
    <w:p>
      <w:pPr>
        <w:numPr>
          <w:ilvl w:val="1"/>
          <w:numId w:val="64"/>
        </w:numPr>
      </w:pPr>
      <w:r>
        <w:rPr/>
        <w:t>À des malformations oculaires, cataracte congénitale le plus souvent</w:t>
      </w:r>
    </w:p>
    <w:p>
      <w:pPr>
        <w:numPr>
          <w:ilvl w:val="1"/>
          <w:numId w:val="64"/>
        </w:numPr>
      </w:pPr>
      <w:r>
        <w:rPr/>
        <w:t>À une maladie générale,</w:t>
      </w:r>
    </w:p>
    <w:p>
      <w:pPr>
        <w:numPr>
          <w:ilvl w:val="2"/>
          <w:numId w:val="64"/>
        </w:numPr>
      </w:pPr>
      <w:r>
        <w:rPr/>
        <w:t>Ex devant un nouveau-né avec un angiome de l’</w:t>
      </w:r>
      <w:r>
        <w:rPr/>
        <w:t>hémi-face</w:t>
      </w:r>
      <w:r>
        <w:rPr/>
        <w:t xml:space="preserve"> et phacomatose (syndrome de </w:t>
      </w:r>
      <w:r>
        <w:rPr/>
        <w:t>Stürge</w:t>
      </w:r>
      <w:r>
        <w:rPr/>
        <w:t xml:space="preserve"> Weber </w:t>
      </w:r>
      <w:r>
        <w:rPr/>
        <w:t>Krabbe</w:t>
      </w:r>
      <w:r>
        <w:rPr/>
        <w:t>)</w:t>
      </w:r>
      <w:r>
        <w:rPr/>
      </w:r>
    </w:p>
    <w:p>
      <w:pPr>
        <w:numPr>
          <w:ilvl w:val="2"/>
          <w:numId w:val="64"/>
        </w:numPr>
      </w:pPr>
      <w:r>
        <w:rPr/>
        <w:t xml:space="preserve">Ou une maladie de Von </w:t>
      </w:r>
      <w:r>
        <w:rPr/>
        <w:t>Recklinghause</w:t>
      </w:r>
      <w:r>
        <w:rPr/>
        <w:t xml:space="preserve"> (neurofibromatose)</w:t>
      </w:r>
      <w:r>
        <w:rPr/>
        <w:br/>
      </w:r>
    </w:p>
    <w:p>
      <w:pPr>
        <w:numPr>
          <w:ilvl w:val="0"/>
          <w:numId w:val="64"/>
        </w:numPr>
      </w:pPr>
      <w:r>
        <w:rPr/>
        <w:t>Parfois héréditaire</w:t>
      </w:r>
    </w:p>
    <w:p>
      <w:pPr>
        <w:numPr>
          <w:ilvl w:val="1"/>
          <w:numId w:val="64"/>
        </w:numPr>
      </w:pPr>
      <w:r>
        <w:rPr/>
        <w:t>Dominance autosomique à pénétrance variable</w:t>
      </w:r>
    </w:p>
    <w:p>
      <w:pPr>
        <w:numPr>
          <w:ilvl w:val="1"/>
          <w:numId w:val="64"/>
        </w:numPr>
      </w:pPr>
      <w:r>
        <w:rPr/>
        <w:t>D’où</w:t>
      </w:r>
      <w:r>
        <w:rPr/>
        <w:t xml:space="preserve"> l’intérêt de l’interrogatoire et l’enquête génétique (notion de consanguinité)</w:t>
      </w:r>
      <w:r>
        <w:rPr/>
        <w:br/>
      </w:r>
    </w:p>
    <w:p>
      <w:pPr>
        <w:numPr>
          <w:ilvl w:val="0"/>
          <w:numId w:val="64"/>
        </w:numPr>
      </w:pPr>
      <w:r>
        <w:rPr/>
        <w:t>Pronostic sévère</w:t>
      </w:r>
    </w:p>
    <w:p>
      <w:pPr>
        <w:numPr>
          <w:ilvl w:val="1"/>
          <w:numId w:val="64"/>
        </w:numPr>
      </w:pPr>
      <w:r>
        <w:rPr/>
        <w:t>Non diagnostiqué, c’est la cécité obligatoire</w:t>
      </w:r>
    </w:p>
    <w:p>
      <w:pPr>
        <w:numPr>
          <w:ilvl w:val="1"/>
          <w:numId w:val="64"/>
        </w:numPr>
      </w:pPr>
      <w:r>
        <w:rPr/>
        <w:t>Même diagnostiqué et opéré tôt, certains enfants seront déficients visuels sauf si l’atteinte est unilatérale (</w:t>
      </w:r>
      <w:r>
        <w:rPr/>
        <w:t>atrophie optique</w:t>
      </w:r>
      <w:r>
        <w:rPr/>
      </w:r>
      <w:r>
        <w:rPr/>
        <w:t xml:space="preserve"> déjà constituée in-utéro)</w:t>
      </w:r>
    </w:p>
    <w:p>
      <w:pPr/>
    </w:p>
    <w:p>
      <w:pPr>
        <w:pStyle w:val="Heading2"/>
        <w:numPr>
          <w:ilvl w:val="0"/>
          <w:numId w:val="174"/>
        </w:numPr>
      </w:pPr>
      <w:r>
        <w:rPr/>
        <w:t>LES SIGNES CLINIQUES</w:t>
      </w:r>
    </w:p>
    <w:p>
      <w:pPr>
        <w:numPr>
          <w:ilvl w:val="0"/>
          <w:numId w:val="65"/>
        </w:numPr>
      </w:pPr>
      <w:r>
        <w:rPr/>
        <w:t>Le glaucome congénital peut être évoqué dès la naissance ou dans les premiers mois de la vie par 3 signes</w:t>
      </w:r>
    </w:p>
    <w:p>
      <w:pPr>
        <w:numPr>
          <w:ilvl w:val="1"/>
          <w:numId w:val="65"/>
        </w:numPr>
      </w:pPr>
      <w:r>
        <w:rPr>
          <w:b/>
        </w:rPr>
        <w:t xml:space="preserve">Un larmoiement clair. </w:t>
      </w:r>
    </w:p>
    <w:p>
      <w:pPr>
        <w:numPr>
          <w:ilvl w:val="2"/>
          <w:numId w:val="65"/>
        </w:numPr>
      </w:pPr>
      <w:r>
        <w:rPr/>
        <w:t>A différencier d’un larmoiement du nourrisson par imperméabilité temporaire du canal lacrymo-nasal</w:t>
      </w:r>
    </w:p>
    <w:p>
      <w:pPr>
        <w:numPr>
          <w:ilvl w:val="1"/>
          <w:numId w:val="65"/>
        </w:numPr>
      </w:pPr>
      <w:r>
        <w:rPr>
          <w:b/>
        </w:rPr>
        <w:t>Une photophobie</w:t>
      </w:r>
    </w:p>
    <w:p>
      <w:pPr>
        <w:numPr>
          <w:ilvl w:val="1"/>
          <w:numId w:val="65"/>
        </w:numPr>
      </w:pPr>
      <w:r>
        <w:rPr>
          <w:b/>
        </w:rPr>
        <w:t xml:space="preserve">Une </w:t>
      </w:r>
      <w:r>
        <w:rPr>
          <w:b/>
        </w:rPr>
        <w:t>mégalocornée</w:t>
      </w:r>
      <w:r>
        <w:rPr>
          <w:b/>
        </w:rPr>
        <w:t xml:space="preserve"> </w:t>
      </w:r>
      <w:r>
        <w:rPr/>
        <w:t>: augmentation du diamètre cornéen donnant un aspect de “beaux yeux”</w:t>
      </w:r>
    </w:p>
    <w:p>
      <w:pPr/>
    </w:p>
    <w:p>
      <w:pPr>
        <w:pStyle w:val="Heading2"/>
        <w:numPr>
          <w:ilvl w:val="0"/>
          <w:numId w:val="174"/>
        </w:numPr>
      </w:pPr>
      <w:r>
        <w:rPr/>
        <w:t>DIAGNOSTIC POSITIF</w:t>
      </w:r>
    </w:p>
    <w:p>
      <w:pPr>
        <w:numPr>
          <w:ilvl w:val="0"/>
          <w:numId w:val="66"/>
        </w:numPr>
      </w:pPr>
      <w:r>
        <w:rPr>
          <w:b/>
        </w:rPr>
        <w:t xml:space="preserve">Pas toujours évident </w:t>
      </w:r>
      <w:r>
        <w:rPr/>
        <w:t xml:space="preserve">si l’augmentation du diamètre cornéen est </w:t>
      </w:r>
      <w:r>
        <w:rPr>
          <w:b/>
        </w:rPr>
        <w:t>minime</w:t>
      </w:r>
    </w:p>
    <w:p>
      <w:pPr>
        <w:numPr>
          <w:ilvl w:val="0"/>
          <w:numId w:val="66"/>
        </w:numPr>
      </w:pPr>
      <w:r>
        <w:rPr>
          <w:b/>
        </w:rPr>
        <w:t xml:space="preserve">Evident </w:t>
      </w:r>
      <w:r>
        <w:rPr/>
        <w:t xml:space="preserve">si la </w:t>
      </w:r>
      <w:r>
        <w:rPr>
          <w:b/>
        </w:rPr>
        <w:t>mégalocornée</w:t>
      </w:r>
      <w:r>
        <w:rPr>
          <w:b/>
        </w:rPr>
        <w:t xml:space="preserve"> </w:t>
      </w:r>
      <w:r>
        <w:rPr>
          <w:b/>
          <w:u w:val="single"/>
        </w:rPr>
        <w:t>unilatérale</w:t>
      </w:r>
    </w:p>
    <w:p>
      <w:pPr>
        <w:numPr>
          <w:ilvl w:val="0"/>
          <w:numId w:val="66"/>
        </w:numPr>
      </w:pPr>
      <w:r>
        <w:drawing>
          <wp:inline xmlns:a="http://schemas.openxmlformats.org/drawingml/2006/main" xmlns:pic="http://schemas.openxmlformats.org/drawingml/2006/picture">
            <wp:extent cx="19913600" cy="1489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0" cy="14897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p>
      <w:pPr>
        <w:numPr>
          <w:ilvl w:val="0"/>
          <w:numId w:val="66"/>
        </w:numPr>
      </w:pPr>
      <w:r>
        <w:rPr/>
        <w:t>Se fait par un examen sous AG au bloc opératoire sous microscope :</w:t>
      </w:r>
    </w:p>
    <w:p>
      <w:pPr>
        <w:numPr>
          <w:ilvl w:val="0"/>
          <w:numId w:val="66"/>
        </w:numPr>
      </w:pPr>
      <w:r>
        <w:rPr/>
        <w:t>De façon bilatérale et comparative :</w:t>
      </w:r>
    </w:p>
    <w:p>
      <w:pPr>
        <w:numPr>
          <w:ilvl w:val="1"/>
          <w:numId w:val="66"/>
        </w:numPr>
      </w:pPr>
      <w:r>
        <w:rPr/>
        <w:t>Mesure de la TO : augmentée à 20 à 30 mmHg</w:t>
      </w:r>
    </w:p>
    <w:p>
      <w:pPr>
        <w:numPr>
          <w:ilvl w:val="1"/>
          <w:numId w:val="66"/>
        </w:numPr>
      </w:pPr>
      <w:r>
        <w:rPr/>
        <w:t>Mesure du diamètre cornéen : 12 à 13 mm</w:t>
      </w:r>
    </w:p>
    <w:p>
      <w:pPr>
        <w:numPr>
          <w:ilvl w:val="1"/>
          <w:numId w:val="66"/>
        </w:numPr>
      </w:pPr>
      <w:r>
        <w:rPr/>
        <w:t xml:space="preserve">LAF, Examen de la cornée : </w:t>
      </w:r>
      <w:r>
        <w:rPr/>
        <w:t>œdématié</w:t>
      </w:r>
      <w:r>
        <w:rPr/>
        <w:t xml:space="preserve">, une rupture horizontale de la membrane de </w:t>
      </w:r>
      <w:r>
        <w:rPr/>
        <w:t>Descemet</w:t>
      </w:r>
      <w:r>
        <w:rPr/>
        <w:t xml:space="preserve"> -&gt; </w:t>
      </w:r>
      <w:r>
        <w:rPr>
          <w:b/>
        </w:rPr>
        <w:t xml:space="preserve">“stries de VOGT” : pathognomonique </w:t>
      </w:r>
      <w:r>
        <w:rPr>
          <w:b/>
        </w:rPr>
        <w:t>du glaucome congénital</w:t>
      </w:r>
    </w:p>
    <w:p>
      <w:pPr>
        <w:numPr>
          <w:ilvl w:val="1"/>
          <w:numId w:val="66"/>
        </w:numPr>
      </w:pPr>
      <w:r>
        <w:rPr/>
        <w:t xml:space="preserve">&lt;12 mois : </w:t>
      </w:r>
    </w:p>
    <w:p>
      <w:pPr>
        <w:numPr>
          <w:ilvl w:val="2"/>
          <w:numId w:val="66"/>
        </w:numPr>
      </w:pPr>
      <w:r>
        <w:rPr/>
        <w:t>Diamètre cornéen ne doit pas dépasser 12 mm</w:t>
      </w:r>
    </w:p>
    <w:p>
      <w:pPr>
        <w:numPr>
          <w:ilvl w:val="2"/>
          <w:numId w:val="66"/>
        </w:numPr>
      </w:pPr>
      <w:r>
        <w:rPr/>
        <w:t>PIO</w:t>
      </w:r>
      <w:r>
        <w:rPr/>
      </w:r>
      <w:r>
        <w:rPr/>
        <w:t xml:space="preserve"> ne doit pas dépasser 12 mmHg</w:t>
      </w:r>
      <w:r>
        <w:rPr/>
      </w:r>
      <w:r>
        <w:rPr/>
        <w:br/>
      </w:r>
    </w:p>
    <w:p>
      <w:pPr>
        <w:numPr>
          <w:ilvl w:val="1"/>
          <w:numId w:val="66"/>
        </w:numPr>
      </w:pPr>
      <w:r>
        <w:rPr/>
        <w:t xml:space="preserve"> </w:t>
      </w:r>
    </w:p>
    <w:p>
      <w:pPr>
        <w:numPr>
          <w:ilvl w:val="1"/>
          <w:numId w:val="66"/>
        </w:numPr>
      </w:pPr>
      <w:r>
        <w:rPr/>
        <w:t>Examen du FO : évalue l’excavation papillaire, atrophie optique</w:t>
      </w:r>
    </w:p>
    <w:p>
      <w:pPr>
        <w:numPr>
          <w:ilvl w:val="1"/>
          <w:numId w:val="66"/>
        </w:numPr>
      </w:pPr>
      <w:r>
        <w:rPr/>
        <w:t xml:space="preserve">La </w:t>
      </w:r>
      <w:r>
        <w:rPr/>
        <w:t>gonioscopie</w:t>
      </w:r>
      <w:r>
        <w:rPr/>
        <w:t xml:space="preserve"> si la transparence de la cornée le permet : Anomalie de l’AIC, Membrane de </w:t>
      </w:r>
      <w:r>
        <w:rPr/>
        <w:t>Barkan</w:t>
      </w:r>
    </w:p>
    <w:p>
      <w:pPr>
        <w:numPr>
          <w:ilvl w:val="1"/>
          <w:numId w:val="66"/>
        </w:numPr>
      </w:pPr>
      <w:r>
        <w:rPr/>
        <w:t>Pas d’examen de champ visuel</w:t>
      </w:r>
    </w:p>
    <w:p>
      <w:pPr/>
    </w:p>
    <w:p>
      <w:pPr>
        <w:pStyle w:val="Heading2"/>
        <w:numPr>
          <w:ilvl w:val="0"/>
          <w:numId w:val="174"/>
        </w:numPr>
      </w:pPr>
      <w:r>
        <w:rPr/>
        <w:t>EVOLUTION</w:t>
      </w:r>
    </w:p>
    <w:p>
      <w:pPr>
        <w:numPr>
          <w:ilvl w:val="0"/>
          <w:numId w:val="68"/>
        </w:numPr>
      </w:pPr>
      <w:r>
        <w:rPr/>
        <w:t xml:space="preserve">Elle peut s’évoluer en quelques mois ou années jusqu’à la </w:t>
      </w:r>
      <w:r>
        <w:rPr>
          <w:b/>
        </w:rPr>
        <w:t>buphtalmie</w:t>
      </w:r>
      <w:r>
        <w:rPr/>
        <w:t xml:space="preserve"> “</w:t>
      </w:r>
      <w:r>
        <w:rPr/>
        <w:t xml:space="preserve">œil </w:t>
      </w:r>
      <w:r>
        <w:rPr/>
        <w:t xml:space="preserve"> de</w:t>
      </w:r>
      <w:r>
        <w:rPr/>
        <w:t xml:space="preserve"> </w:t>
      </w:r>
      <w:r>
        <w:rPr/>
        <w:t>bœuf</w:t>
      </w:r>
      <w:r>
        <w:rPr/>
        <w:t>”</w:t>
      </w:r>
    </w:p>
    <w:p>
      <w:pPr>
        <w:numPr>
          <w:ilvl w:val="1"/>
          <w:numId w:val="68"/>
        </w:numPr>
      </w:pPr>
      <w:r>
        <w:rPr/>
        <w:t>Le diamètre cornéen devient énorme et la cornée perd sa transparence et devient blanche laiteuse</w:t>
      </w:r>
    </w:p>
    <w:p>
      <w:pPr/>
    </w:p>
    <w:p>
      <w:pPr>
        <w:pStyle w:val="Heading2"/>
        <w:numPr>
          <w:ilvl w:val="0"/>
          <w:numId w:val="174"/>
        </w:numPr>
      </w:pPr>
      <w:r>
        <w:rPr/>
        <w:t>DIAGNOSTIC DIFFERENTIEL :</w:t>
      </w:r>
    </w:p>
    <w:p>
      <w:pPr/>
      <w:r>
        <w:rPr/>
        <w:t>Il n’y en a pas</w:t>
      </w:r>
    </w:p>
    <w:p>
      <w:pPr/>
    </w:p>
    <w:p>
      <w:pPr>
        <w:pStyle w:val="Heading2"/>
        <w:numPr>
          <w:ilvl w:val="0"/>
          <w:numId w:val="174"/>
        </w:numPr>
      </w:pPr>
      <w:r>
        <w:rPr/>
        <w:t>TRAITEMENT</w:t>
      </w:r>
    </w:p>
    <w:p>
      <w:pPr>
        <w:numPr>
          <w:ilvl w:val="0"/>
          <w:numId w:val="69"/>
        </w:numPr>
      </w:pPr>
      <w:r>
        <w:rPr>
          <w:b/>
        </w:rPr>
        <w:t xml:space="preserve">Uniquement chirurgical </w:t>
      </w:r>
      <w:r>
        <w:rPr/>
        <w:t>et relativement urgente</w:t>
      </w:r>
    </w:p>
    <w:p>
      <w:pPr>
        <w:numPr>
          <w:ilvl w:val="0"/>
          <w:numId w:val="69"/>
        </w:numPr>
      </w:pPr>
      <w:r>
        <w:rPr/>
        <w:t>3 types d’opérations :</w:t>
      </w:r>
    </w:p>
    <w:p>
      <w:pPr>
        <w:numPr>
          <w:ilvl w:val="1"/>
          <w:numId w:val="69"/>
        </w:numPr>
      </w:pPr>
      <w:r>
        <w:rPr/>
        <w:t>Goniotomie</w:t>
      </w:r>
      <w:r>
        <w:rPr/>
        <w:t xml:space="preserve"> : on ouvre l’angle en incisant la membrane de </w:t>
      </w:r>
      <w:r>
        <w:rPr/>
        <w:t>Barkan</w:t>
      </w:r>
    </w:p>
    <w:p>
      <w:pPr>
        <w:numPr>
          <w:ilvl w:val="1"/>
          <w:numId w:val="69"/>
        </w:numPr>
      </w:pPr>
      <w:r>
        <w:rPr/>
        <w:t>Trabéculotomie</w:t>
      </w:r>
      <w:r>
        <w:rPr/>
        <w:t xml:space="preserve"> : on perce le trabéculum qu’on fait communiquer avec l’angle </w:t>
      </w:r>
      <w:r>
        <w:rPr/>
        <w:t>irido</w:t>
      </w:r>
      <w:r>
        <w:rPr/>
        <w:t>-cornéen</w:t>
      </w:r>
    </w:p>
    <w:p>
      <w:pPr>
        <w:numPr>
          <w:ilvl w:val="1"/>
          <w:numId w:val="69"/>
        </w:numPr>
      </w:pPr>
      <w:r>
        <w:rPr/>
        <w:t>Trabéculectomie : comme chez l’adulte</w:t>
      </w:r>
    </w:p>
    <w:p>
      <w:pPr/>
    </w:p>
    <w:p>
      <w:pPr>
        <w:pStyle w:val="Heading2"/>
        <w:numPr>
          <w:ilvl w:val="0"/>
          <w:numId w:val="174"/>
        </w:numPr>
      </w:pPr>
      <w:r>
        <w:rPr/>
        <w:t>SURVEILLANCE</w:t>
      </w:r>
    </w:p>
    <w:p>
      <w:pPr>
        <w:numPr>
          <w:ilvl w:val="0"/>
          <w:numId w:val="70"/>
        </w:numPr>
      </w:pPr>
      <w:r>
        <w:rPr/>
        <w:t>Régulière :</w:t>
      </w:r>
    </w:p>
    <w:p>
      <w:pPr>
        <w:numPr>
          <w:ilvl w:val="1"/>
          <w:numId w:val="70"/>
        </w:numPr>
      </w:pPr>
      <w:r>
        <w:rPr/>
        <w:t>Examens sous AG tous les 6 mois pendant 1 ou 2 ans</w:t>
      </w:r>
    </w:p>
    <w:p>
      <w:pPr>
        <w:numPr>
          <w:ilvl w:val="1"/>
          <w:numId w:val="70"/>
        </w:numPr>
      </w:pPr>
      <w:r>
        <w:rPr/>
        <w:t>Puis 1 fois par an, à vie</w:t>
      </w:r>
    </w:p>
    <w:p>
      <w:pPr>
        <w:numPr>
          <w:ilvl w:val="0"/>
          <w:numId w:val="70"/>
        </w:numPr>
      </w:pPr>
      <w:r>
        <w:rPr/>
        <w:t>Eléments de surveillance :</w:t>
      </w:r>
    </w:p>
    <w:p>
      <w:pPr>
        <w:numPr>
          <w:ilvl w:val="1"/>
          <w:numId w:val="70"/>
        </w:numPr>
      </w:pPr>
      <w:r>
        <w:rPr/>
        <w:t>PIO, diamètre cornéen, état des papilles (FO), transparence des cornées (LAF)</w:t>
      </w:r>
    </w:p>
    <w:p>
      <w:pPr>
        <w:numPr>
          <w:ilvl w:val="1"/>
          <w:numId w:val="70"/>
        </w:numPr>
      </w:pPr>
      <w:r>
        <w:rPr/>
        <w:t>Un champ visuel à l’adolescence</w:t>
      </w:r>
      <w:r>
        <w:rPr/>
        <w:br/>
      </w:r>
    </w:p>
    <w:p>
      <w:pPr>
        <w:numPr>
          <w:ilvl w:val="0"/>
          <w:numId w:val="70"/>
        </w:numPr>
      </w:pPr>
      <w:r>
        <w:rPr/>
        <w:t>La reprise de l’hypertonie est toujours possible (</w:t>
      </w:r>
      <w:r>
        <w:rPr>
          <w:i/>
        </w:rPr>
        <w:t>d’où la surveillance à vie)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