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GLAUCOMES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"/>
        </w:numPr>
      </w:pPr>
      <w:r>
        <w:rPr/>
        <w:t>Les glaucomes regroupent toutes maladies oculaires où la pression intra-oculaire est supérieure à 21 mmHg associées à un retentissement sur le nerf optique</w:t>
      </w:r>
    </w:p>
    <w:p>
      <w:pPr>
        <w:numPr>
          <w:ilvl w:val="0"/>
          <w:numId w:val="3"/>
        </w:numPr>
      </w:pPr>
      <w:r>
        <w:rPr/>
        <w:t>Constitue la 2è cause de la cécité dans le monde selon l’OMS (GCAO), après la cataracte</w:t>
      </w:r>
    </w:p>
    <w:p>
      <w:pPr>
        <w:numPr>
          <w:ilvl w:val="0"/>
          <w:numId w:val="3"/>
        </w:numPr>
      </w:pPr>
      <w:r>
        <w:rPr/>
        <w:t>Il existe 4 types de glaucomes</w:t>
      </w:r>
      <w:r>
        <w:rPr/>
      </w:r>
    </w:p>
    <w:p>
      <w:pPr/>
    </w:p>
    <w:p>
      <w:pPr/>
      <w:r>
        <w:rPr/>
        <w:t>RAPPEL ANATOMO-PHYSIOLOGIQUE</w:t>
      </w:r>
    </w:p>
    <w:p>
      <w:pPr>
        <w:numPr>
          <w:ilvl w:val="0"/>
          <w:numId w:val="4"/>
        </w:numPr>
      </w:pPr>
      <w:r>
        <w:rPr/>
        <w:t>La PIO est fonction du volume d’humeur aqueuse contenue dans la chambre antérieure</w:t>
      </w:r>
    </w:p>
    <w:p>
      <w:pPr>
        <w:numPr>
          <w:ilvl w:val="0"/>
          <w:numId w:val="4"/>
        </w:numPr>
      </w:pPr>
      <w:r>
        <w:rPr/>
        <w:t xml:space="preserve">L’humeur aqueuse est secrétée par </w:t>
      </w:r>
      <w:r>
        <w:rPr/>
        <w:t>les procès ciliaires</w:t>
      </w:r>
      <w:r>
        <w:rPr/>
        <w:t xml:space="preserve"> du corps ciliaire. Elle passe à travers les fibres de la zonule dans la chambre postérieure</w:t>
      </w:r>
    </w:p>
    <w:p>
      <w:pPr>
        <w:numPr>
          <w:ilvl w:val="0"/>
          <w:numId w:val="4"/>
        </w:numPr>
      </w:pPr>
      <w:r>
        <w:rPr/>
        <w:t>Puis elle traverse la pupille pour arriver dans la chambre antérieure</w:t>
      </w:r>
    </w:p>
    <w:p>
      <w:pPr>
        <w:numPr>
          <w:ilvl w:val="0"/>
          <w:numId w:val="4"/>
        </w:numPr>
      </w:pPr>
      <w:r>
        <w:rPr/>
        <w:t xml:space="preserve">Avant la résorption dans l’angle </w:t>
      </w:r>
      <w:r>
        <w:rPr/>
        <w:t>irido-cornéene</w:t>
      </w:r>
      <w:r>
        <w:rPr/>
        <w:t xml:space="preserve"> à travers le trabéculum,</w:t>
      </w:r>
    </w:p>
    <w:p>
      <w:pPr>
        <w:numPr>
          <w:ilvl w:val="0"/>
          <w:numId w:val="4"/>
        </w:numPr>
      </w:pPr>
      <w:r>
        <w:rPr/>
        <w:t xml:space="preserve">Drainée dans le canal de </w:t>
      </w:r>
      <w:r>
        <w:rPr/>
        <w:t>Schlemm</w:t>
      </w:r>
    </w:p>
    <w:p>
      <w:pPr>
        <w:numPr>
          <w:ilvl w:val="0"/>
          <w:numId w:val="4"/>
        </w:numPr>
      </w:pPr>
      <w:r>
        <w:rPr/>
        <w:t>Elle se jette dans les veines conjonctivales et la circulation générale</w:t>
      </w:r>
      <w:r>
        <w:rPr/>
        <w:br/>
      </w:r>
    </w:p>
    <w:p>
      <w:pPr>
        <w:numPr>
          <w:ilvl w:val="0"/>
          <w:numId w:val="4"/>
        </w:numPr>
      </w:pPr>
      <w:r>
        <w:rPr/>
        <w:t>La PIO normale chez l’adulte mesure 15 +/- 5 mmHg</w:t>
      </w:r>
    </w:p>
    <w:p>
      <w:pPr>
        <w:numPr>
          <w:ilvl w:val="0"/>
          <w:numId w:val="4"/>
        </w:numPr>
      </w:pPr>
      <w:r>
        <w:rPr/>
        <w:t>Terrain : hypermétrope, femme de la cinquantaine, stressée</w:t>
      </w:r>
    </w:p>
    <w:p>
      <w:pPr>
        <w:numPr>
          <w:ilvl w:val="0"/>
          <w:numId w:val="4"/>
        </w:numPr>
      </w:pPr>
      <w:r>
        <w:rPr/>
        <w:t>Physiologie de la circulation de l’humeur aqueuse</w:t>
      </w: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PHYSIOPATHOLOGIES DES GLAUCOMES</w:t>
      </w:r>
    </w:p>
    <w:p>
      <w:pPr>
        <w:pStyle w:val="Heading3"/>
        <w:numPr>
          <w:ilvl w:val="0"/>
          <w:numId w:val="56"/>
        </w:numPr>
      </w:pPr>
      <w:r>
        <w:rPr/>
        <w:t>Causes de l’Hypertonie Oculaire (HTO)</w:t>
      </w:r>
    </w:p>
    <w:p>
      <w:pPr>
        <w:pStyle w:val="Heading4"/>
        <w:numPr>
          <w:ilvl w:val="0"/>
          <w:numId w:val="57"/>
        </w:numPr>
      </w:pPr>
      <w:r>
        <w:rPr/>
        <w:t>Augmentation de la sécrétion ciliaire : rare</w:t>
      </w:r>
    </w:p>
    <w:p>
      <w:pPr>
        <w:numPr>
          <w:ilvl w:val="0"/>
          <w:numId w:val="6"/>
        </w:numPr>
      </w:pPr>
      <w:r>
        <w:rPr/>
        <w:t xml:space="preserve">Dans les uvéites antérieures aiguës compliquées d’HTO au cours d’une </w:t>
      </w:r>
      <w:r>
        <w:rPr>
          <w:b/>
        </w:rPr>
        <w:t>uvéite hypertensive</w:t>
      </w:r>
    </w:p>
    <w:p>
      <w:pPr/>
    </w:p>
    <w:p>
      <w:pPr>
        <w:pStyle w:val="Heading4"/>
        <w:numPr>
          <w:ilvl w:val="0"/>
          <w:numId w:val="57"/>
        </w:numPr>
      </w:pPr>
      <w:r>
        <w:rPr/>
        <w:t>Blocage pupillaire</w:t>
      </w:r>
    </w:p>
    <w:p>
      <w:pPr>
        <w:numPr>
          <w:ilvl w:val="0"/>
          <w:numId w:val="7"/>
        </w:numPr>
      </w:pPr>
      <w:r>
        <w:rPr/>
        <w:t xml:space="preserve">Au cours d’un </w:t>
      </w:r>
      <w:r>
        <w:rPr>
          <w:b/>
        </w:rPr>
        <w:t>glaucome aigu à angle fermé</w:t>
      </w:r>
    </w:p>
    <w:p>
      <w:pPr>
        <w:numPr>
          <w:ilvl w:val="0"/>
          <w:numId w:val="7"/>
        </w:numPr>
      </w:pPr>
      <w:r>
        <w:rPr/>
        <w:t>Avec l’âge, le cristallin s’opacifie et augmente de volume et peut alors provoquer un blocage de l’orifice pupillaire en cas d’association avec un semi-mydriase</w:t>
      </w:r>
    </w:p>
    <w:p>
      <w:pPr>
        <w:numPr>
          <w:ilvl w:val="0"/>
          <w:numId w:val="7"/>
        </w:numPr>
      </w:pPr>
      <w:r>
        <w:rPr>
          <w:b/>
        </w:rPr>
        <w:t xml:space="preserve">Synéchies </w:t>
      </w:r>
      <w:r>
        <w:rPr>
          <w:b/>
        </w:rPr>
        <w:t>irido</w:t>
      </w:r>
      <w:r>
        <w:rPr>
          <w:b/>
        </w:rPr>
        <w:t>-cristalliniennes</w:t>
      </w:r>
      <w:r>
        <w:rPr/>
      </w:r>
      <w:r>
        <w:rPr>
          <w:b/>
        </w:rPr>
        <w:t xml:space="preserve"> </w:t>
      </w:r>
      <w:r>
        <w:rPr/>
        <w:t>compliquant une uvéite antérieure aiguë mal traitée</w:t>
      </w:r>
    </w:p>
    <w:p>
      <w:pPr/>
    </w:p>
    <w:p>
      <w:pPr>
        <w:pStyle w:val="Heading4"/>
        <w:numPr>
          <w:ilvl w:val="0"/>
          <w:numId w:val="57"/>
        </w:numPr>
      </w:pPr>
      <w:r>
        <w:rPr/>
        <w:t>Diminution de l’élimination de l’humeur aqueuse au niveau de l’AIC</w:t>
      </w:r>
    </w:p>
    <w:p>
      <w:pPr>
        <w:numPr>
          <w:ilvl w:val="0"/>
          <w:numId w:val="8"/>
        </w:numPr>
      </w:pPr>
      <w:r>
        <w:rPr/>
        <w:t xml:space="preserve">Obstruction de l’AIC par une membrane résiduelle embryonnaire de </w:t>
      </w:r>
      <w:r>
        <w:rPr/>
        <w:t>Barkan</w:t>
      </w:r>
      <w:r>
        <w:rPr/>
        <w:t xml:space="preserve"> au cours du glaucome congénital</w:t>
      </w:r>
    </w:p>
    <w:p>
      <w:pPr>
        <w:numPr>
          <w:ilvl w:val="0"/>
          <w:numId w:val="8"/>
        </w:numPr>
      </w:pPr>
      <w:r>
        <w:rPr/>
        <w:t xml:space="preserve">Sclérose du trabéculum liée à l’âge : c’est le </w:t>
      </w:r>
      <w:r>
        <w:rPr>
          <w:b/>
        </w:rPr>
        <w:t>mécanisme du glaucome chronique à angle ouvert</w:t>
      </w:r>
    </w:p>
    <w:p>
      <w:pPr>
        <w:numPr>
          <w:ilvl w:val="0"/>
          <w:numId w:val="8"/>
        </w:numPr>
      </w:pPr>
      <w:r>
        <w:rPr>
          <w:b/>
        </w:rPr>
        <w:t>Fermeture de l’AIC</w:t>
      </w:r>
      <w:r>
        <w:rPr/>
        <w:t xml:space="preserve"> au cours d’un GAFA comme chez l’hypermétrope où l’</w:t>
      </w:r>
      <w:r>
        <w:rPr/>
        <w:t>œil</w:t>
      </w:r>
      <w:r>
        <w:rPr/>
        <w:t xml:space="preserve"> et trop court en antéro-postérieur, la chambre antérieure est trop plate, et l’angle </w:t>
      </w:r>
      <w:r>
        <w:rPr/>
        <w:t>constitutionnellement</w:t>
      </w:r>
      <w:r>
        <w:rPr/>
        <w:t xml:space="preserve"> étroit</w:t>
      </w:r>
    </w:p>
    <w:p>
      <w:pPr>
        <w:numPr>
          <w:ilvl w:val="0"/>
          <w:numId w:val="8"/>
        </w:numPr>
      </w:pPr>
      <w:r>
        <w:rPr/>
        <w:t xml:space="preserve">L’iris est </w:t>
      </w:r>
      <w:r>
        <w:rPr/>
        <w:t>poussée</w:t>
      </w:r>
      <w:r>
        <w:rPr/>
        <w:t xml:space="preserve"> vers l’avant</w:t>
      </w:r>
    </w:p>
    <w:p>
      <w:pPr/>
    </w:p>
    <w:p>
      <w:pPr>
        <w:pStyle w:val="Heading3"/>
        <w:numPr>
          <w:ilvl w:val="0"/>
          <w:numId w:val="56"/>
        </w:numPr>
      </w:pPr>
      <w:r>
        <w:rPr/>
        <w:t>Conséquences de l’HTO</w:t>
      </w:r>
    </w:p>
    <w:p>
      <w:pPr>
        <w:numPr>
          <w:ilvl w:val="0"/>
          <w:numId w:val="10"/>
        </w:numPr>
      </w:pPr>
      <w:r>
        <w:rPr/>
        <w:t>Compression des artères de la tête du nerf optique</w:t>
      </w:r>
    </w:p>
    <w:p>
      <w:pPr>
        <w:numPr>
          <w:ilvl w:val="0"/>
          <w:numId w:val="10"/>
        </w:numPr>
      </w:pPr>
      <w:r>
        <w:rPr/>
        <w:t>D’autant</w:t>
      </w:r>
      <w:r>
        <w:rPr/>
        <w:t xml:space="preserve"> plus grave qu’elle est élevée</w:t>
      </w:r>
    </w:p>
    <w:p>
      <w:pPr>
        <w:numPr>
          <w:ilvl w:val="0"/>
          <w:numId w:val="10"/>
        </w:numPr>
      </w:pPr>
      <w:r>
        <w:rPr/>
        <w:t>Exemple :</w:t>
      </w:r>
    </w:p>
    <w:p>
      <w:pPr>
        <w:numPr>
          <w:ilvl w:val="1"/>
          <w:numId w:val="10"/>
        </w:numPr>
      </w:pPr>
      <w:r>
        <w:rPr/>
        <w:t xml:space="preserve">Une TO &gt; 60 </w:t>
      </w:r>
      <w:r>
        <w:rPr/>
        <w:t>mmHg</w:t>
      </w:r>
      <w:r>
        <w:rPr/>
        <w:t xml:space="preserve"> pendant 12 h entraîne une </w:t>
      </w:r>
      <w:r>
        <w:rPr>
          <w:b/>
        </w:rPr>
        <w:t>perte fonctionnelle totale et irréversible</w:t>
      </w:r>
      <w:r>
        <w:rPr>
          <w:b/>
        </w:rPr>
        <w:br/>
      </w:r>
    </w:p>
    <w:p>
      <w:pPr>
        <w:pStyle w:val="Heading4"/>
      </w:pPr>
      <w:r>
        <w:rPr/>
        <w:t>Les facteurs vasculaires du glaucome chronique à angle ouvert</w:t>
      </w:r>
    </w:p>
    <w:p>
      <w:pPr>
        <w:numPr>
          <w:ilvl w:val="0"/>
          <w:numId w:val="11"/>
        </w:numPr>
      </w:pPr>
      <w:r>
        <w:rPr/>
        <w:t>L’HTO chronique agit sur la qualité de la microcirculation du nerf optique</w:t>
      </w:r>
    </w:p>
    <w:p>
      <w:pPr>
        <w:numPr>
          <w:ilvl w:val="0"/>
          <w:numId w:val="11"/>
        </w:numPr>
      </w:pPr>
      <w:r>
        <w:rPr/>
        <w:t>Les facteurs de risque vasculaire, d’artériosclérose (HTA, diabète, tabac, hypercholestérolémie)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