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Étiologie des éruptions vésiculeuses</w:t>
      </w:r>
    </w:p>
    <w:p>
      <w:pPr>
        <w:numPr>
          <w:ilvl w:val="0"/>
          <w:numId w:val="20"/>
        </w:numPr>
      </w:pPr>
      <w:r>
        <w:rPr/>
        <w:t>Varicelle</w:t>
      </w:r>
    </w:p>
    <w:p>
      <w:pPr>
        <w:numPr>
          <w:ilvl w:val="0"/>
          <w:numId w:val="20"/>
        </w:numPr>
      </w:pPr>
      <w:r>
        <w:rPr/>
        <w:t>Zona</w:t>
      </w:r>
    </w:p>
    <w:p>
      <w:pPr>
        <w:numPr>
          <w:ilvl w:val="0"/>
          <w:numId w:val="20"/>
        </w:numPr>
      </w:pPr>
      <w:r>
        <w:rPr/>
        <w:t>Éruptions à virus herpès simplex 1 et 2</w:t>
      </w:r>
    </w:p>
    <w:p>
      <w:pPr>
        <w:numPr>
          <w:ilvl w:val="1"/>
          <w:numId w:val="20"/>
        </w:numPr>
      </w:pPr>
      <w:r>
        <w:rPr/>
        <w:t>Gingivostomatite</w:t>
      </w:r>
      <w:r>
        <w:rPr/>
        <w:t xml:space="preserve"> aiguë</w:t>
      </w:r>
    </w:p>
    <w:p>
      <w:pPr>
        <w:numPr>
          <w:ilvl w:val="1"/>
          <w:numId w:val="20"/>
        </w:numPr>
      </w:pPr>
      <w:r>
        <w:rPr/>
        <w:t>Herpès génital</w:t>
      </w:r>
    </w:p>
    <w:p>
      <w:pPr>
        <w:numPr>
          <w:ilvl w:val="1"/>
          <w:numId w:val="20"/>
        </w:numPr>
      </w:pPr>
      <w:r>
        <w:rPr/>
        <w:t>Panaris herpétique</w:t>
      </w:r>
    </w:p>
    <w:p>
      <w:pPr>
        <w:numPr>
          <w:ilvl w:val="1"/>
          <w:numId w:val="20"/>
        </w:numPr>
      </w:pPr>
      <w:r>
        <w:rPr/>
        <w:t>Herpès oculaire</w:t>
      </w:r>
    </w:p>
    <w:p>
      <w:pPr>
        <w:numPr>
          <w:ilvl w:val="1"/>
          <w:numId w:val="20"/>
        </w:numPr>
      </w:pPr>
      <w:r>
        <w:rPr/>
        <w:t>Herpès cutané</w:t>
      </w:r>
    </w:p>
    <w:p>
      <w:pPr>
        <w:numPr>
          <w:ilvl w:val="1"/>
          <w:numId w:val="20"/>
        </w:numPr>
      </w:pPr>
      <w:r>
        <w:rPr/>
        <w:t>Herpès généralisé (</w:t>
      </w:r>
      <w:r>
        <w:rPr>
          <w:i/>
        </w:rPr>
        <w:t xml:space="preserve">immunodéprimés) </w:t>
      </w:r>
    </w:p>
    <w:p>
      <w:pPr>
        <w:numPr>
          <w:ilvl w:val="0"/>
          <w:numId w:val="20"/>
        </w:numPr>
      </w:pPr>
      <w:r>
        <w:rPr/>
        <w:t>Syndrome pied-main-bouche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