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ASPHYXIE PERINATALE</w:t>
      </w:r>
    </w:p>
    <w:p>
      <w:pPr>
        <w:pStyle w:val="Heading2"/>
      </w:pPr>
      <w:r>
        <w:rPr/>
        <w:t>Objectifs</w:t>
      </w:r>
    </w:p>
    <w:p>
      <w:pPr>
        <w:numPr>
          <w:ilvl w:val="0"/>
          <w:numId w:val="52"/>
        </w:numPr>
      </w:pPr>
      <w:r>
        <w:rPr/>
        <w:t>Expliquer la physiopathologie</w:t>
      </w:r>
    </w:p>
    <w:p>
      <w:pPr>
        <w:numPr>
          <w:ilvl w:val="0"/>
          <w:numId w:val="52"/>
        </w:numPr>
      </w:pPr>
      <w:r>
        <w:rPr/>
        <w:t>Reconnaitre une asphyxie périnatale</w:t>
      </w:r>
    </w:p>
    <w:p>
      <w:pPr>
        <w:numPr>
          <w:ilvl w:val="0"/>
          <w:numId w:val="52"/>
        </w:numPr>
      </w:pPr>
      <w:r>
        <w:rPr/>
        <w:t>Enumérer les principes du traitement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53"/>
        </w:numPr>
      </w:pPr>
      <w:r>
        <w:rPr/>
        <w:t>Altération sévère des échanges gazeux utéro-placentaires</w:t>
      </w:r>
    </w:p>
    <w:p>
      <w:pPr>
        <w:numPr>
          <w:ilvl w:val="2"/>
          <w:numId w:val="53"/>
        </w:numPr>
      </w:pPr>
      <w:r>
        <w:rPr/>
        <w:t>-&gt; Hypoxie sévère + acidose gazeuse (hypercapnie) immédiates</w:t>
      </w:r>
    </w:p>
    <w:p>
      <w:pPr>
        <w:numPr>
          <w:ilvl w:val="2"/>
          <w:numId w:val="53"/>
        </w:numPr>
      </w:pPr>
      <w:r>
        <w:rPr/>
        <w:t xml:space="preserve">-&gt; Acidose métabolique + </w:t>
      </w:r>
      <w:r>
        <w:rPr/>
        <w:t>hyperlactacidémie</w:t>
      </w:r>
      <w:r>
        <w:rPr/>
        <w:t xml:space="preserve"> (altération du métabolisme cellulaire)</w:t>
      </w:r>
    </w:p>
    <w:p>
      <w:pPr>
        <w:numPr>
          <w:ilvl w:val="1"/>
          <w:numId w:val="53"/>
        </w:numPr>
      </w:pPr>
      <w:r>
        <w:rPr/>
        <w:t>Arguments cliniques et biologiques +++</w:t>
      </w:r>
    </w:p>
    <w:p>
      <w:pPr>
        <w:numPr>
          <w:ilvl w:val="1"/>
          <w:numId w:val="53"/>
        </w:numPr>
      </w:pPr>
      <w:r>
        <w:rPr/>
        <w:t>-&gt; mise en jeu du pronostic vital</w:t>
      </w:r>
      <w:r>
        <w:rPr/>
        <w:br/>
      </w:r>
    </w:p>
    <w:p>
      <w:pPr>
        <w:pStyle w:val="Heading3"/>
      </w:pPr>
      <w:r>
        <w:rPr/>
        <w:t>Intérêts</w:t>
      </w:r>
    </w:p>
    <w:p>
      <w:pPr>
        <w:numPr>
          <w:ilvl w:val="1"/>
          <w:numId w:val="53"/>
        </w:numPr>
      </w:pPr>
      <w:r>
        <w:rPr/>
        <w:t>Asphyxie périnatale : cause majeure de mortalité néonatale</w:t>
      </w:r>
    </w:p>
    <w:p>
      <w:pPr>
        <w:numPr>
          <w:ilvl w:val="1"/>
          <w:numId w:val="53"/>
        </w:numPr>
      </w:pPr>
      <w:r>
        <w:rPr/>
        <w:t>Pays développés : 0,2 à 0,4 % des naissances</w:t>
      </w:r>
    </w:p>
    <w:p>
      <w:pPr>
        <w:numPr>
          <w:ilvl w:val="1"/>
          <w:numId w:val="53"/>
        </w:numPr>
      </w:pPr>
      <w:r>
        <w:rPr/>
        <w:t>Afrique : 4,2% des naissances à terme</w:t>
      </w:r>
    </w:p>
    <w:p>
      <w:pPr>
        <w:numPr>
          <w:ilvl w:val="1"/>
          <w:numId w:val="53"/>
        </w:numPr>
      </w:pPr>
      <w:r>
        <w:rPr/>
        <w:t>Cerveau++++ et rein : les plus touchés</w:t>
      </w:r>
    </w:p>
    <w:p>
      <w:pPr>
        <w:numPr>
          <w:ilvl w:val="1"/>
          <w:numId w:val="53"/>
        </w:numPr>
      </w:pPr>
      <w:r>
        <w:rPr/>
        <w:t>Pronostic neurologique : encéphalopathie néonatale post-asphyxique (EEG et IRM +++)</w:t>
      </w:r>
      <w:r>
        <w:rPr/>
        <w:br/>
      </w:r>
    </w:p>
    <w:p>
      <w:pPr>
        <w:numPr>
          <w:ilvl w:val="1"/>
          <w:numId w:val="53"/>
        </w:numPr>
      </w:pPr>
      <w:r>
        <w:rPr/>
        <w:t>-&gt; Hypothermie contrôlée : efficacité prouvée (</w:t>
      </w:r>
      <w:r>
        <w:rPr>
          <w:i/>
        </w:rPr>
        <w:t>évite l’installation d’une encéphalopathie III)</w:t>
      </w:r>
    </w:p>
    <w:p>
      <w:pPr/>
    </w:p>
    <w:p>
      <w:pPr>
        <w:pStyle w:val="Heading3"/>
      </w:pPr>
      <w:r>
        <w:rPr/>
        <w:t>PHYSIOPATHOLOGIE</w:t>
      </w:r>
    </w:p>
    <w:p>
      <w:pPr>
        <w:numPr>
          <w:ilvl w:val="0"/>
          <w:numId w:val="54"/>
        </w:numPr>
      </w:pPr>
      <w:r>
        <w:rPr/>
        <w:t>Définitions :</w:t>
      </w:r>
    </w:p>
    <w:p>
      <w:pPr>
        <w:numPr>
          <w:ilvl w:val="1"/>
          <w:numId w:val="54"/>
        </w:numPr>
      </w:pPr>
      <w:r>
        <w:rPr/>
        <w:t xml:space="preserve">Hypoxémie : baisse de la quantité </w:t>
      </w:r>
      <w:r>
        <w:rPr/>
        <w:t>d’ O</w:t>
      </w:r>
      <w:r>
        <w:rPr/>
        <w:t xml:space="preserve">2 dans </w:t>
      </w:r>
      <w:r>
        <w:rPr>
          <w:u w:val="single"/>
        </w:rPr>
        <w:t>le sang</w:t>
      </w:r>
      <w:r>
        <w:rPr/>
        <w:t xml:space="preserve"> (</w:t>
      </w:r>
      <w:r>
        <w:rPr>
          <w:i/>
        </w:rPr>
        <w:t>possible pendant quelques jours)</w:t>
      </w:r>
    </w:p>
    <w:p>
      <w:pPr>
        <w:numPr>
          <w:ilvl w:val="1"/>
          <w:numId w:val="54"/>
        </w:numPr>
      </w:pPr>
      <w:r>
        <w:rPr/>
        <w:t xml:space="preserve">Hypoxie : baisse de la quantité d’O2 dans </w:t>
      </w:r>
      <w:r>
        <w:rPr>
          <w:u w:val="single"/>
        </w:rPr>
        <w:t>les tissus</w:t>
      </w:r>
      <w:r>
        <w:rPr/>
        <w:t xml:space="preserve"> (</w:t>
      </w:r>
      <w:r>
        <w:rPr>
          <w:i/>
        </w:rPr>
        <w:t>en quelques heures)</w:t>
      </w:r>
    </w:p>
    <w:p>
      <w:pPr>
        <w:numPr>
          <w:ilvl w:val="1"/>
          <w:numId w:val="54"/>
        </w:numPr>
      </w:pPr>
      <w:r>
        <w:rPr/>
        <w:t xml:space="preserve">Asphyxie : hypoxie + </w:t>
      </w:r>
      <w:r>
        <w:rPr>
          <w:u w:val="single"/>
        </w:rPr>
        <w:t>acidose métabolique</w:t>
      </w:r>
    </w:p>
    <w:p>
      <w:pPr/>
      <w:r>
        <w:drawing>
          <wp:inline xmlns:a="http://schemas.openxmlformats.org/drawingml/2006/main" xmlns:pic="http://schemas.openxmlformats.org/drawingml/2006/picture">
            <wp:extent cx="21272500" cy="1591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0" cy="1591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1501100" cy="16090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0" cy="1609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/>
        <w:t>Hypothermie thérapeutique : avant la 6ème heure de vie</w:t>
      </w:r>
    </w:p>
    <w:p>
      <w:pPr/>
      <w:r>
        <w:drawing>
          <wp:inline xmlns:a="http://schemas.openxmlformats.org/drawingml/2006/main" xmlns:pic="http://schemas.openxmlformats.org/drawingml/2006/picture">
            <wp:extent cx="21018500" cy="15722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0" cy="15722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1767800" cy="16281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67800" cy="1628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1882100" cy="16370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82100" cy="1637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130"/>
        </w:numPr>
      </w:pPr>
      <w:r>
        <w:rPr/>
        <w:t>DIAGNOSTIC POSITIF</w:t>
      </w:r>
    </w:p>
    <w:p>
      <w:pPr>
        <w:pStyle w:val="Heading4"/>
        <w:numPr>
          <w:ilvl w:val="0"/>
          <w:numId w:val="131"/>
        </w:numPr>
      </w:pPr>
      <w:r>
        <w:rPr/>
        <w:t>Signes cliniques</w:t>
      </w:r>
    </w:p>
    <w:p>
      <w:pPr>
        <w:numPr>
          <w:ilvl w:val="0"/>
          <w:numId w:val="55"/>
        </w:numPr>
      </w:pPr>
      <w:r>
        <w:rPr/>
        <w:t>Score d’APGAR</w:t>
      </w:r>
    </w:p>
    <w:p>
      <w:pPr>
        <w:numPr>
          <w:ilvl w:val="0"/>
          <w:numId w:val="55"/>
        </w:numPr>
      </w:pPr>
      <w:r>
        <w:rPr/>
        <w:t>Encéphalopathie néonatale par anoxie cérébrale</w:t>
      </w:r>
    </w:p>
    <w:p>
      <w:pPr/>
    </w:p>
    <w:p>
      <w:pPr>
        <w:pStyle w:val="Heading5"/>
        <w:numPr>
          <w:ilvl w:val="0"/>
          <w:numId w:val="133"/>
        </w:numPr>
      </w:pPr>
      <w:r>
        <w:rPr/>
        <w:t>Score d’APGAR</w:t>
      </w:r>
    </w:p>
    <w:p>
      <w:pPr>
        <w:pStyle w:val="ListParagraph"/>
        <w:numPr>
          <w:ilvl w:val="0"/>
          <w:numId w:val="134"/>
        </w:numPr>
      </w:pPr>
      <w:r>
        <w:rPr/>
        <w:t>Mauvaise adaptation à la naissance</w:t>
      </w:r>
    </w:p>
    <w:p>
      <w:pPr>
        <w:pStyle w:val="ListParagraph"/>
        <w:numPr>
          <w:ilvl w:val="0"/>
          <w:numId w:val="134"/>
        </w:numPr>
      </w:pPr>
      <w:r>
        <w:rPr/>
        <w:t xml:space="preserve">Apgar &lt; 7 bas prolongé (au moins 5 minutes) </w:t>
      </w:r>
    </w:p>
    <w:p>
      <w:pPr>
        <w:pStyle w:val="ListParagraph"/>
        <w:numPr>
          <w:ilvl w:val="0"/>
          <w:numId w:val="134"/>
        </w:numPr>
      </w:pPr>
      <w:r>
        <w:rPr/>
        <w:t xml:space="preserve">Hypotonique et </w:t>
      </w:r>
      <w:r>
        <w:rPr/>
        <w:t>hyporéactif</w:t>
      </w:r>
    </w:p>
    <w:p>
      <w:pPr>
        <w:pStyle w:val="ListParagraph"/>
        <w:numPr>
          <w:ilvl w:val="0"/>
          <w:numId w:val="134"/>
        </w:numPr>
      </w:pPr>
      <w:r>
        <w:rPr/>
        <w:t>Très subjective</w:t>
      </w:r>
    </w:p>
    <w:p>
      <w:pPr>
        <w:pStyle w:val="ListParagraph"/>
        <w:numPr>
          <w:ilvl w:val="1"/>
          <w:numId w:val="134"/>
        </w:numPr>
      </w:pPr>
      <w:r>
        <w:rPr/>
        <w:t>(</w:t>
      </w:r>
      <w:r>
        <w:rPr>
          <w:i/>
        </w:rPr>
        <w:t>Asphyxie</w:t>
      </w:r>
      <w:r>
        <w:rPr>
          <w:i/>
        </w:rPr>
        <w:t xml:space="preserve"> périnatale)</w:t>
      </w:r>
      <w:r>
        <w:rPr>
          <w:i/>
        </w:rPr>
        <w:br/>
      </w:r>
    </w:p>
    <w:p>
      <w:pPr>
        <w:pStyle w:val="Heading5"/>
        <w:numPr>
          <w:ilvl w:val="0"/>
          <w:numId w:val="133"/>
        </w:numPr>
      </w:pPr>
      <w:r>
        <w:rPr/>
        <w:t xml:space="preserve">ENCEPHALOPATHIE NEONATALE : (Classification de </w:t>
      </w:r>
      <w:r>
        <w:rPr/>
        <w:t>Sarnat</w:t>
      </w:r>
      <w:r>
        <w:rPr/>
        <w:t>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50"/>
          </w:tcPr>
          <w:p/>
          <w:p>
            <w:pPr/>
          </w:p>
        </w:tc>
        <w:tc>
          <w:tcPr>
            <w:tcW w:type="dxa" w:w="1950"/>
          </w:tcPr>
          <w:p/>
          <w:p>
            <w:pPr/>
            <w:r>
              <w:rPr>
                <w:color w:val="FFFFFF"/>
              </w:rPr>
              <w:t>EHI légère I</w:t>
            </w:r>
          </w:p>
        </w:tc>
        <w:tc>
          <w:tcPr>
            <w:tcW w:type="dxa" w:w="1950"/>
          </w:tcPr>
          <w:p/>
          <w:p>
            <w:pPr/>
            <w:r>
              <w:rPr>
                <w:color w:val="FFFFFF"/>
              </w:rPr>
              <w:t>EHI modérée II</w:t>
            </w:r>
          </w:p>
        </w:tc>
        <w:tc>
          <w:tcPr>
            <w:tcW w:type="dxa" w:w="1950"/>
          </w:tcPr>
          <w:p/>
          <w:p>
            <w:pPr/>
            <w:r>
              <w:rPr>
                <w:color w:val="FFFFFF"/>
              </w:rPr>
              <w:t>EHI sévère III</w:t>
            </w:r>
          </w:p>
        </w:tc>
      </w:tr>
      <w:tr>
        <w:tc>
          <w:tcPr>
            <w:tcW w:type="dxa" w:w="1950"/>
          </w:tcPr>
          <w:p/>
          <w:p>
            <w:pPr/>
            <w:r>
              <w:rPr>
                <w:color w:val="FFFFFF"/>
              </w:rPr>
              <w:t>Etat de conscience</w:t>
            </w:r>
          </w:p>
        </w:tc>
        <w:tc>
          <w:tcPr>
            <w:tcW w:type="dxa" w:w="1950"/>
          </w:tcPr>
          <w:p/>
          <w:p>
            <w:pPr/>
            <w:r>
              <w:rPr/>
              <w:t xml:space="preserve">Hyper-alerte </w:t>
            </w:r>
          </w:p>
        </w:tc>
        <w:tc>
          <w:tcPr>
            <w:tcW w:type="dxa" w:w="1950"/>
          </w:tcPr>
          <w:p/>
          <w:p>
            <w:pPr/>
            <w:r>
              <w:rPr/>
              <w:t>Léthargique</w:t>
            </w:r>
          </w:p>
        </w:tc>
        <w:tc>
          <w:tcPr>
            <w:tcW w:type="dxa" w:w="1950"/>
          </w:tcPr>
          <w:p/>
          <w:p>
            <w:pPr/>
            <w:r>
              <w:rPr/>
              <w:t>S</w:t>
            </w:r>
            <w:r>
              <w:rPr/>
              <w:t>tuporeux</w:t>
            </w:r>
            <w:r>
              <w:rPr/>
              <w:t xml:space="preserve"> </w:t>
            </w:r>
          </w:p>
        </w:tc>
      </w:tr>
      <w:tr>
        <w:tc>
          <w:tcPr>
            <w:tcW w:type="dxa" w:w="1950"/>
          </w:tcPr>
          <w:p/>
          <w:p>
            <w:pPr/>
            <w:r>
              <w:rPr>
                <w:color w:val="FFFFFF"/>
              </w:rPr>
              <w:t>Tonus musculaire</w:t>
            </w:r>
          </w:p>
        </w:tc>
        <w:tc>
          <w:tcPr>
            <w:tcW w:type="dxa" w:w="1950"/>
          </w:tcPr>
          <w:p/>
          <w:p>
            <w:pPr/>
            <w:r>
              <w:rPr/>
              <w:t>Normal</w:t>
            </w:r>
          </w:p>
        </w:tc>
        <w:tc>
          <w:tcPr>
            <w:tcW w:type="dxa" w:w="1950"/>
          </w:tcPr>
          <w:p/>
          <w:p>
            <w:pPr/>
            <w:r>
              <w:rPr/>
              <w:t>Hypotonie Légère</w:t>
            </w:r>
          </w:p>
        </w:tc>
        <w:tc>
          <w:tcPr>
            <w:tcW w:type="dxa" w:w="1950"/>
          </w:tcPr>
          <w:p/>
          <w:p>
            <w:pPr/>
            <w:r>
              <w:rPr/>
              <w:t>Flaccidité</w:t>
            </w:r>
          </w:p>
        </w:tc>
      </w:tr>
      <w:tr>
        <w:tc>
          <w:tcPr>
            <w:tcW w:type="dxa" w:w="1950"/>
          </w:tcPr>
          <w:p/>
          <w:p>
            <w:pPr/>
            <w:r>
              <w:rPr>
                <w:color w:val="FFFFFF"/>
              </w:rPr>
              <w:t>Réflexes complexes</w:t>
            </w:r>
          </w:p>
        </w:tc>
        <w:tc>
          <w:tcPr>
            <w:tcW w:type="dxa" w:w="1950"/>
          </w:tcPr>
          <w:p/>
          <w:p>
            <w:pPr/>
          </w:p>
        </w:tc>
        <w:tc>
          <w:tcPr>
            <w:tcW w:type="dxa" w:w="1950"/>
          </w:tcPr>
          <w:p/>
          <w:p>
            <w:pPr/>
          </w:p>
        </w:tc>
        <w:tc>
          <w:tcPr>
            <w:tcW w:type="dxa" w:w="1950"/>
          </w:tcPr>
          <w:p/>
          <w:p>
            <w:pPr/>
          </w:p>
        </w:tc>
      </w:tr>
      <w:tr>
        <w:tc>
          <w:tcPr>
            <w:tcW w:type="dxa" w:w="1950"/>
          </w:tcPr>
          <w:p/>
          <w:p>
            <w:pPr/>
            <w:r>
              <w:rPr>
                <w:color w:val="FFFFFF"/>
              </w:rPr>
              <w:t xml:space="preserve">Succion </w:t>
            </w:r>
          </w:p>
        </w:tc>
        <w:tc>
          <w:tcPr>
            <w:tcW w:type="dxa" w:w="1950"/>
          </w:tcPr>
          <w:p/>
          <w:p>
            <w:pPr/>
            <w:r>
              <w:rPr/>
              <w:t>Normal/faible</w:t>
            </w:r>
          </w:p>
        </w:tc>
        <w:tc>
          <w:tcPr>
            <w:tcW w:type="dxa" w:w="1950"/>
          </w:tcPr>
          <w:p/>
          <w:p>
            <w:pPr/>
            <w:r>
              <w:rPr/>
              <w:t>Faible/absente</w:t>
            </w:r>
          </w:p>
        </w:tc>
        <w:tc>
          <w:tcPr>
            <w:tcW w:type="dxa" w:w="1950"/>
          </w:tcPr>
          <w:p/>
          <w:p>
            <w:pPr/>
            <w:r>
              <w:rPr/>
              <w:t xml:space="preserve">Absente </w:t>
            </w:r>
          </w:p>
        </w:tc>
      </w:tr>
      <w:tr>
        <w:tc>
          <w:tcPr>
            <w:tcW w:type="dxa" w:w="1950"/>
          </w:tcPr>
          <w:p/>
          <w:p>
            <w:pPr/>
            <w:r>
              <w:rPr>
                <w:color w:val="FFFFFF"/>
              </w:rPr>
              <w:t>Moro</w:t>
            </w:r>
          </w:p>
        </w:tc>
        <w:tc>
          <w:tcPr>
            <w:tcW w:type="dxa" w:w="1950"/>
          </w:tcPr>
          <w:p/>
          <w:p>
            <w:pPr/>
            <w:r>
              <w:rPr/>
              <w:t>B</w:t>
            </w:r>
            <w:r>
              <w:rPr/>
              <w:t>on</w:t>
            </w:r>
            <w:r>
              <w:rPr/>
              <w:t xml:space="preserve"> </w:t>
            </w:r>
          </w:p>
        </w:tc>
        <w:tc>
          <w:tcPr>
            <w:tcW w:type="dxa" w:w="1950"/>
          </w:tcPr>
          <w:p/>
          <w:p>
            <w:pPr/>
            <w:r>
              <w:rPr/>
              <w:t>Faible/incomplet</w:t>
            </w:r>
          </w:p>
        </w:tc>
        <w:tc>
          <w:tcPr>
            <w:tcW w:type="dxa" w:w="1950"/>
          </w:tcPr>
          <w:p/>
          <w:p>
            <w:pPr/>
            <w:r>
              <w:rPr/>
              <w:t xml:space="preserve">Absent </w:t>
            </w:r>
          </w:p>
        </w:tc>
      </w:tr>
      <w:tr>
        <w:tc>
          <w:tcPr>
            <w:tcW w:type="dxa" w:w="1950"/>
          </w:tcPr>
          <w:p/>
          <w:p>
            <w:pPr/>
            <w:r>
              <w:rPr>
                <w:color w:val="FFFFFF"/>
              </w:rPr>
              <w:t>C</w:t>
            </w:r>
            <w:r>
              <w:rPr>
                <w:color w:val="FFFFFF"/>
              </w:rPr>
              <w:t>onvulsions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type="dxa" w:w="1950"/>
          </w:tcPr>
          <w:p/>
          <w:p>
            <w:pPr/>
            <w:r>
              <w:rPr/>
              <w:t xml:space="preserve">Absentes </w:t>
            </w:r>
          </w:p>
        </w:tc>
        <w:tc>
          <w:tcPr>
            <w:tcW w:type="dxa" w:w="1950"/>
          </w:tcPr>
          <w:p/>
          <w:p>
            <w:pPr/>
            <w:r>
              <w:rPr/>
              <w:t xml:space="preserve">Courantes </w:t>
            </w:r>
          </w:p>
        </w:tc>
        <w:tc>
          <w:tcPr>
            <w:tcW w:type="dxa" w:w="1950"/>
          </w:tcPr>
          <w:p/>
          <w:p>
            <w:pPr/>
            <w:r>
              <w:rPr/>
              <w:t>Fréquentes/difficiles à contrôler</w:t>
            </w:r>
          </w:p>
        </w:tc>
      </w:tr>
    </w:tbl>
    <w:p>
      <w:pPr/>
    </w:p>
    <w:p>
      <w:pPr/>
      <w:r>
        <w:rPr/>
        <w:t xml:space="preserve">Grade I : mineure, </w:t>
      </w:r>
      <w:r>
        <w:rPr>
          <w:i/>
        </w:rPr>
        <w:t xml:space="preserve">résolution des signes en </w:t>
      </w:r>
      <w:r>
        <w:rPr/>
        <w:t xml:space="preserve">moins de 48 h, </w:t>
      </w:r>
      <w:r>
        <w:rPr>
          <w:i/>
        </w:rPr>
        <w:t>sans séquelles neurologiques</w:t>
      </w:r>
    </w:p>
    <w:p>
      <w:pPr/>
      <w:r>
        <w:rPr/>
        <w:t>Grade II : 40 à 60% des cas : séquelles neurologiques</w:t>
      </w:r>
    </w:p>
    <w:p>
      <w:pPr/>
      <w:r>
        <w:rPr/>
        <w:t>Grade III : coma profond et perte reflexe du tronc (décès +++)</w:t>
      </w:r>
    </w:p>
    <w:p>
      <w:pPr/>
    </w:p>
    <w:p>
      <w:pPr>
        <w:pStyle w:val="Heading4"/>
        <w:numPr>
          <w:ilvl w:val="0"/>
          <w:numId w:val="131"/>
        </w:numPr>
      </w:pPr>
      <w:r>
        <w:rPr/>
        <w:t>Signes biologiques</w:t>
      </w:r>
    </w:p>
    <w:p>
      <w:pPr>
        <w:numPr>
          <w:ilvl w:val="0"/>
          <w:numId w:val="56"/>
        </w:numPr>
      </w:pPr>
      <w:r>
        <w:rPr>
          <w:b/>
        </w:rPr>
        <w:t xml:space="preserve">Acidose métabolique : </w:t>
      </w:r>
      <w:r>
        <w:rPr/>
        <w:t xml:space="preserve">pH &lt; 7 et déficit de Base </w:t>
      </w:r>
      <w:r>
        <w:rPr>
          <w:rFonts w:ascii="Symbol" w:hAnsi="Symbol"/>
        </w:rPr>
      </w:r>
      <w:r>
        <w:rPr/>
        <w:t xml:space="preserve"> 12mmol/l</w:t>
      </w:r>
    </w:p>
    <w:p>
      <w:pPr>
        <w:numPr>
          <w:ilvl w:val="0"/>
          <w:numId w:val="56"/>
        </w:numPr>
      </w:pPr>
      <w:r>
        <w:rPr>
          <w:b/>
        </w:rPr>
        <w:t>Hyperlactacidémie</w:t>
      </w:r>
      <w:r>
        <w:rPr>
          <w:b/>
        </w:rPr>
        <w:t xml:space="preserve"> &gt; 6mmol/l</w:t>
      </w:r>
      <w:r>
        <w:rPr/>
        <w:t xml:space="preserve"> (</w:t>
      </w:r>
      <w:r>
        <w:rPr>
          <w:i/>
        </w:rPr>
        <w:t xml:space="preserve">peut être observé </w:t>
      </w:r>
      <w:r>
        <w:rPr/>
        <w:t>au niveau du cordon)</w:t>
      </w:r>
    </w:p>
    <w:p>
      <w:pPr>
        <w:numPr>
          <w:ilvl w:val="0"/>
          <w:numId w:val="56"/>
        </w:numPr>
      </w:pPr>
      <w:r>
        <w:rPr/>
        <w:t>Créatine kinase (CK-Brain Borne)</w:t>
      </w:r>
    </w:p>
    <w:p>
      <w:pPr>
        <w:numPr>
          <w:ilvl w:val="0"/>
          <w:numId w:val="56"/>
        </w:numPr>
      </w:pPr>
      <w:r>
        <w:rPr/>
        <w:t xml:space="preserve">Acides aminés excitateurs (aspartate et glutamate) de la Neuro </w:t>
      </w:r>
      <w:r>
        <w:rPr/>
        <w:t>Specific</w:t>
      </w:r>
      <w:r>
        <w:rPr/>
        <w:t xml:space="preserve"> </w:t>
      </w:r>
      <w:r>
        <w:rPr/>
        <w:t>Enolase</w:t>
      </w:r>
      <w:r>
        <w:rPr/>
        <w:t xml:space="preserve"> (NSE)</w:t>
      </w:r>
    </w:p>
    <w:p>
      <w:pPr>
        <w:numPr>
          <w:ilvl w:val="0"/>
          <w:numId w:val="56"/>
        </w:numPr>
      </w:pPr>
      <w:r>
        <w:rPr/>
        <w:t>-&gt;</w:t>
      </w:r>
      <w:r>
        <w:rPr>
          <w:i/>
        </w:rPr>
        <w:t xml:space="preserve"> clinique + </w:t>
      </w:r>
      <w:r>
        <w:rPr>
          <w:i/>
        </w:rPr>
        <w:t>hyperlactacidémie</w:t>
      </w:r>
      <w:r>
        <w:rPr>
          <w:i/>
        </w:rPr>
        <w:t xml:space="preserve"> = premières prise en charge</w:t>
      </w:r>
    </w:p>
    <w:p>
      <w:pPr/>
    </w:p>
    <w:p>
      <w:pPr>
        <w:pStyle w:val="Heading4"/>
        <w:numPr>
          <w:ilvl w:val="0"/>
          <w:numId w:val="131"/>
        </w:numPr>
      </w:pPr>
      <w:r>
        <w:rPr/>
        <w:t>Explorations complémentaires</w:t>
      </w:r>
    </w:p>
    <w:p>
      <w:pPr>
        <w:numPr>
          <w:ilvl w:val="0"/>
          <w:numId w:val="57"/>
        </w:numPr>
      </w:pPr>
      <w:r>
        <w:rPr>
          <w:b/>
        </w:rPr>
        <w:t>EEG+++</w:t>
      </w:r>
      <w:r>
        <w:rPr/>
        <w:t xml:space="preserve"> dans les premières 48h </w:t>
      </w:r>
    </w:p>
    <w:p>
      <w:pPr>
        <w:numPr>
          <w:ilvl w:val="0"/>
          <w:numId w:val="57"/>
        </w:numPr>
      </w:pPr>
      <w:r>
        <w:rPr/>
        <w:t xml:space="preserve">Potentiels évoqués (visuels, auditifs ou somesthésiques) : </w:t>
      </w:r>
      <w:r>
        <w:rPr/>
        <w:t>explorations fonctionnelles</w:t>
      </w:r>
      <w:r>
        <w:rPr/>
        <w:t xml:space="preserve"> des voies nerveuses</w:t>
      </w:r>
    </w:p>
    <w:p>
      <w:pPr>
        <w:numPr>
          <w:ilvl w:val="0"/>
          <w:numId w:val="57"/>
        </w:numPr>
      </w:pPr>
      <w:r>
        <w:rPr/>
        <w:t xml:space="preserve">Doppler pulsé </w:t>
      </w:r>
      <w:r>
        <w:rPr/>
        <w:t>transcrânien</w:t>
      </w:r>
    </w:p>
    <w:p>
      <w:pPr/>
    </w:p>
    <w:p>
      <w:pPr>
        <w:pStyle w:val="Heading4"/>
        <w:numPr>
          <w:ilvl w:val="0"/>
          <w:numId w:val="131"/>
        </w:numPr>
      </w:pPr>
      <w:r>
        <w:rPr/>
        <w:t>IMAGERIE</w:t>
      </w:r>
    </w:p>
    <w:p>
      <w:pPr>
        <w:numPr>
          <w:ilvl w:val="0"/>
          <w:numId w:val="58"/>
        </w:numPr>
      </w:pPr>
      <w:r>
        <w:rPr/>
        <w:t xml:space="preserve">ETF : </w:t>
      </w:r>
      <w:r>
        <w:rPr/>
        <w:t>échographie</w:t>
      </w:r>
      <w:r>
        <w:rPr/>
        <w:t xml:space="preserve"> transfontanellaire (HIV, </w:t>
      </w:r>
      <w:r>
        <w:rPr/>
        <w:t>etc</w:t>
      </w:r>
      <w:r>
        <w:rPr/>
        <w:t>)</w:t>
      </w:r>
    </w:p>
    <w:p>
      <w:pPr>
        <w:numPr>
          <w:ilvl w:val="0"/>
          <w:numId w:val="58"/>
        </w:numPr>
      </w:pPr>
      <w:r>
        <w:rPr/>
        <w:t>Scanner cérébral</w:t>
      </w:r>
    </w:p>
    <w:p>
      <w:pPr>
        <w:numPr>
          <w:ilvl w:val="0"/>
          <w:numId w:val="58"/>
        </w:numPr>
      </w:pPr>
      <w:r>
        <w:rPr>
          <w:b/>
        </w:rPr>
        <w:t xml:space="preserve">IRM </w:t>
      </w:r>
      <w:r>
        <w:rPr/>
        <w:t>: ++++ bonne précision des lésions cérébrales (bonne VPP et VPN)</w:t>
      </w:r>
      <w:r>
        <w:rPr/>
        <w:br/>
      </w:r>
    </w:p>
    <w:p>
      <w:pPr>
        <w:pStyle w:val="Heading3"/>
        <w:numPr>
          <w:ilvl w:val="0"/>
          <w:numId w:val="130"/>
        </w:numPr>
      </w:pPr>
      <w:r>
        <w:rPr/>
        <w:t>DIAGNOSTIC DE GRAVITE</w:t>
      </w:r>
    </w:p>
    <w:p>
      <w:pPr>
        <w:numPr>
          <w:ilvl w:val="0"/>
          <w:numId w:val="59"/>
        </w:numPr>
      </w:pPr>
      <w:r>
        <w:rPr/>
        <w:t xml:space="preserve">Evènement obstétrical à risque : hématome </w:t>
      </w:r>
      <w:r>
        <w:rPr/>
        <w:t>rétro placentaire</w:t>
      </w:r>
      <w:r>
        <w:rPr/>
        <w:t>, rupture utérine</w:t>
      </w:r>
    </w:p>
    <w:p>
      <w:pPr>
        <w:numPr>
          <w:ilvl w:val="0"/>
          <w:numId w:val="59"/>
        </w:numPr>
      </w:pPr>
      <w:r>
        <w:rPr/>
        <w:t>Anomalies du RCF modérées mais prolongées ou sévères</w:t>
      </w:r>
    </w:p>
    <w:p>
      <w:pPr>
        <w:numPr>
          <w:ilvl w:val="0"/>
          <w:numId w:val="59"/>
        </w:numPr>
      </w:pPr>
      <w:r>
        <w:rPr/>
        <w:t>Score d’Apgar M5 &lt; 7</w:t>
      </w:r>
    </w:p>
    <w:p>
      <w:pPr>
        <w:numPr>
          <w:ilvl w:val="0"/>
          <w:numId w:val="59"/>
        </w:numPr>
      </w:pPr>
      <w:r>
        <w:rPr/>
        <w:t>Manœuvres</w:t>
      </w:r>
      <w:r>
        <w:rPr/>
        <w:t xml:space="preserve"> de réanimation à la naissance (</w:t>
      </w:r>
      <w:r>
        <w:rPr>
          <w:i/>
        </w:rPr>
        <w:t>déjà en état d’hypoxie sévère in utéro)</w:t>
      </w:r>
    </w:p>
    <w:p>
      <w:pPr>
        <w:numPr>
          <w:ilvl w:val="0"/>
          <w:numId w:val="59"/>
        </w:numPr>
      </w:pPr>
      <w:r>
        <w:rPr/>
        <w:t>Acidose métabolique persistante ; pH &lt; 7,20 au-delà de H2</w:t>
      </w:r>
    </w:p>
    <w:p>
      <w:pPr>
        <w:numPr>
          <w:ilvl w:val="0"/>
          <w:numId w:val="59"/>
        </w:numPr>
      </w:pPr>
      <w:r>
        <w:rPr/>
        <w:t>Hyperlactacidémie</w:t>
      </w:r>
      <w:r>
        <w:rPr/>
        <w:t xml:space="preserve"> </w:t>
      </w:r>
      <w:r>
        <w:rPr>
          <w:rFonts w:ascii="Symbol" w:hAnsi="Symbol"/>
        </w:rPr>
      </w:r>
      <w:r>
        <w:rPr/>
        <w:t xml:space="preserve"> 9mmol/l (</w:t>
      </w:r>
      <w:r>
        <w:rPr>
          <w:i/>
        </w:rPr>
        <w:t>traduit un état d’hypoxie sévère in utéro)</w:t>
      </w:r>
    </w:p>
    <w:p>
      <w:pPr/>
    </w:p>
    <w:p>
      <w:pPr>
        <w:pStyle w:val="Heading3"/>
        <w:numPr>
          <w:ilvl w:val="0"/>
          <w:numId w:val="130"/>
        </w:numPr>
      </w:pPr>
      <w:r>
        <w:rPr/>
        <w:t>DIAGNOSTIC DIFFERENTIEL</w:t>
      </w:r>
    </w:p>
    <w:p>
      <w:pPr>
        <w:numPr>
          <w:ilvl w:val="0"/>
          <w:numId w:val="60"/>
        </w:numPr>
      </w:pPr>
      <w:r>
        <w:rPr/>
        <w:t>Pathologies infectieuses : INBP +++</w:t>
      </w:r>
    </w:p>
    <w:p>
      <w:pPr>
        <w:numPr>
          <w:ilvl w:val="0"/>
          <w:numId w:val="60"/>
        </w:numPr>
      </w:pPr>
      <w:r>
        <w:rPr/>
        <w:t>Pathologies métaboliques (</w:t>
      </w:r>
      <w:r>
        <w:rPr>
          <w:i/>
        </w:rPr>
        <w:t>dysrégulation glucidique ou calcique)</w:t>
      </w:r>
    </w:p>
    <w:p>
      <w:pPr>
        <w:numPr>
          <w:ilvl w:val="0"/>
          <w:numId w:val="60"/>
        </w:numPr>
      </w:pPr>
      <w:r>
        <w:rPr/>
        <w:t>Pathologies traumatiques (</w:t>
      </w:r>
      <w:r>
        <w:rPr>
          <w:i/>
        </w:rPr>
        <w:t>obstétricales ou lors de l’accouchement)</w:t>
      </w:r>
    </w:p>
    <w:p>
      <w:pPr>
        <w:numPr>
          <w:ilvl w:val="0"/>
          <w:numId w:val="60"/>
        </w:numPr>
      </w:pPr>
      <w:r>
        <w:rPr/>
        <w:t>Pathologies génétiques</w:t>
      </w:r>
    </w:p>
    <w:p>
      <w:pPr>
        <w:numPr>
          <w:ilvl w:val="0"/>
          <w:numId w:val="60"/>
        </w:numPr>
      </w:pPr>
      <w:r>
        <w:rPr/>
        <w:t xml:space="preserve">-&gt; </w:t>
      </w:r>
      <w:r>
        <w:rPr>
          <w:i/>
        </w:rPr>
        <w:t>toutes ces pathologies peuvent se compliquer ou être associé à une Asphyxie périnatale</w:t>
      </w:r>
    </w:p>
    <w:p>
      <w:pPr/>
    </w:p>
    <w:p>
      <w:pPr>
        <w:pStyle w:val="Heading3"/>
        <w:numPr>
          <w:ilvl w:val="0"/>
          <w:numId w:val="130"/>
        </w:numPr>
      </w:pPr>
      <w:r>
        <w:rPr/>
        <w:t>DIAGNOSTIC ETIOLOGIQUE</w:t>
      </w:r>
    </w:p>
    <w:p>
      <w:pPr>
        <w:pStyle w:val="Heading4"/>
        <w:numPr>
          <w:ilvl w:val="0"/>
          <w:numId w:val="132"/>
        </w:numPr>
      </w:pPr>
      <w:r>
        <w:rPr/>
        <w:t>Interrogatoire :</w:t>
      </w:r>
    </w:p>
    <w:p>
      <w:pPr>
        <w:numPr>
          <w:ilvl w:val="0"/>
          <w:numId w:val="61"/>
        </w:numPr>
      </w:pPr>
      <w:r>
        <w:rPr/>
        <w:t>Idem, classique</w:t>
      </w:r>
    </w:p>
    <w:p>
      <w:pPr>
        <w:numPr>
          <w:ilvl w:val="0"/>
          <w:numId w:val="61"/>
        </w:numPr>
      </w:pPr>
      <w:r>
        <w:rPr/>
        <w:t>Durée du travail</w:t>
      </w:r>
    </w:p>
    <w:p>
      <w:pPr>
        <w:numPr>
          <w:ilvl w:val="0"/>
          <w:numId w:val="61"/>
        </w:numPr>
      </w:pPr>
      <w:r>
        <w:rPr/>
        <w:t>Aspect du liquide amniotique (méconium dans LA = en souffrance = en hypoxie, peut être né asphyxié</w:t>
      </w:r>
    </w:p>
    <w:p>
      <w:pPr>
        <w:numPr>
          <w:ilvl w:val="0"/>
          <w:numId w:val="61"/>
        </w:numPr>
      </w:pPr>
      <w:r>
        <w:rPr/>
        <w:t>Voie d’accouchement : basse ou césarienne</w:t>
      </w:r>
    </w:p>
    <w:p>
      <w:pPr>
        <w:numPr>
          <w:ilvl w:val="0"/>
          <w:numId w:val="61"/>
        </w:numPr>
      </w:pPr>
      <w:r>
        <w:rPr/>
        <w:t>Score d’Apgar +++</w:t>
      </w:r>
    </w:p>
    <w:p>
      <w:pPr>
        <w:numPr>
          <w:ilvl w:val="0"/>
          <w:numId w:val="61"/>
        </w:numPr>
      </w:pPr>
      <w:r>
        <w:rPr/>
        <w:t>Réanimation néonatale</w:t>
      </w:r>
    </w:p>
    <w:p>
      <w:pPr>
        <w:numPr>
          <w:ilvl w:val="0"/>
          <w:numId w:val="61"/>
        </w:numPr>
      </w:pPr>
      <w:r>
        <w:rPr/>
        <w:t xml:space="preserve">Cri à la naissance : </w:t>
      </w:r>
      <w:r>
        <w:rPr>
          <w:i/>
        </w:rPr>
        <w:t>signe positif d’un bon pronostic devant un bébé en état d’hypoxie in utéro</w:t>
      </w:r>
    </w:p>
    <w:p>
      <w:pPr/>
    </w:p>
    <w:p>
      <w:pPr>
        <w:pStyle w:val="Heading4"/>
        <w:numPr>
          <w:ilvl w:val="0"/>
          <w:numId w:val="132"/>
        </w:numPr>
      </w:pPr>
      <w:r>
        <w:rPr/>
        <w:t>Examen clinique</w:t>
      </w:r>
    </w:p>
    <w:p>
      <w:pPr>
        <w:numPr>
          <w:ilvl w:val="0"/>
          <w:numId w:val="62"/>
        </w:numPr>
      </w:pPr>
      <w:r>
        <w:rPr/>
        <w:t>Conscience</w:t>
      </w:r>
    </w:p>
    <w:p>
      <w:pPr>
        <w:numPr>
          <w:ilvl w:val="0"/>
          <w:numId w:val="62"/>
        </w:numPr>
      </w:pPr>
      <w:r>
        <w:rPr/>
        <w:t>État hémodynamique</w:t>
      </w:r>
    </w:p>
    <w:p>
      <w:pPr>
        <w:numPr>
          <w:ilvl w:val="0"/>
          <w:numId w:val="62"/>
        </w:numPr>
      </w:pPr>
      <w:r>
        <w:rPr/>
        <w:t>Signes de défaillances multi-viscérales</w:t>
      </w:r>
    </w:p>
    <w:p>
      <w:pPr>
        <w:numPr>
          <w:ilvl w:val="0"/>
          <w:numId w:val="62"/>
        </w:numPr>
      </w:pPr>
      <w:r>
        <w:rPr/>
        <w:t xml:space="preserve">Troubles neurologiques : </w:t>
      </w:r>
      <w:r>
        <w:rPr>
          <w:i/>
        </w:rPr>
        <w:t>mouvements anormaux ou</w:t>
      </w:r>
      <w:r>
        <w:rPr/>
        <w:t xml:space="preserve"> convulsions ++++ à partir de la 6ème heure de vie</w:t>
      </w:r>
    </w:p>
    <w:p>
      <w:pPr/>
    </w:p>
    <w:p>
      <w:pPr>
        <w:pStyle w:val="Heading4"/>
        <w:numPr>
          <w:ilvl w:val="0"/>
          <w:numId w:val="132"/>
        </w:numPr>
      </w:pPr>
      <w:r>
        <w:rPr/>
        <w:t>ETIOLOGIES</w:t>
      </w:r>
    </w:p>
    <w:p>
      <w:pPr>
        <w:pStyle w:val="Heading5"/>
      </w:pPr>
      <w:r>
        <w:rPr/>
        <w:t>Situations obstétricales</w:t>
      </w:r>
    </w:p>
    <w:p>
      <w:pPr>
        <w:numPr>
          <w:ilvl w:val="1"/>
          <w:numId w:val="63"/>
        </w:numPr>
      </w:pPr>
      <w:r>
        <w:rPr/>
        <w:t xml:space="preserve">Hématome </w:t>
      </w:r>
      <w:r>
        <w:rPr/>
        <w:t>rétro placentaire</w:t>
      </w:r>
    </w:p>
    <w:p>
      <w:pPr>
        <w:numPr>
          <w:ilvl w:val="1"/>
          <w:numId w:val="63"/>
        </w:numPr>
      </w:pPr>
      <w:r>
        <w:rPr/>
        <w:t>Compressions funiculaires</w:t>
      </w:r>
    </w:p>
    <w:p>
      <w:pPr>
        <w:numPr>
          <w:ilvl w:val="1"/>
          <w:numId w:val="63"/>
        </w:numPr>
      </w:pPr>
      <w:r>
        <w:rPr/>
        <w:t>Rupture utérine</w:t>
      </w:r>
    </w:p>
    <w:p>
      <w:pPr>
        <w:numPr>
          <w:ilvl w:val="1"/>
          <w:numId w:val="63"/>
        </w:numPr>
      </w:pPr>
      <w:r>
        <w:rPr/>
        <w:t>Dystocies sévères</w:t>
      </w:r>
    </w:p>
    <w:p>
      <w:pPr>
        <w:numPr>
          <w:ilvl w:val="1"/>
          <w:numId w:val="63"/>
        </w:numPr>
      </w:pPr>
      <w:r>
        <w:rPr/>
        <w:t>Dysfonctions placentaires (</w:t>
      </w:r>
      <w:r>
        <w:rPr/>
        <w:t>post maturité</w:t>
      </w:r>
      <w:r>
        <w:rPr/>
        <w:t xml:space="preserve">, prééclampsie) (-&gt; </w:t>
      </w:r>
      <w:r>
        <w:rPr>
          <w:i/>
        </w:rPr>
        <w:t xml:space="preserve">altération des échanges </w:t>
      </w:r>
      <w:r>
        <w:rPr>
          <w:i/>
        </w:rPr>
        <w:t>fœto-maternelles</w:t>
      </w:r>
      <w:r>
        <w:rPr>
          <w:i/>
        </w:rPr>
        <w:t xml:space="preserve"> surtout gazeux -&gt; anoxie ou hypoxie -&gt; né asphyxié)</w:t>
      </w:r>
    </w:p>
    <w:p>
      <w:pPr>
        <w:numPr>
          <w:ilvl w:val="1"/>
          <w:numId w:val="63"/>
        </w:numPr>
      </w:pPr>
      <w:r>
        <w:rPr/>
        <w:t xml:space="preserve">Hémorragies </w:t>
      </w:r>
      <w:r>
        <w:rPr/>
        <w:t>fœtales</w:t>
      </w:r>
      <w:r>
        <w:rPr/>
        <w:t xml:space="preserve"> (syndrome de </w:t>
      </w:r>
      <w:r>
        <w:rPr/>
        <w:t>Benkiser</w:t>
      </w:r>
      <w:r>
        <w:rPr/>
        <w:t xml:space="preserve">, transfusion </w:t>
      </w:r>
      <w:r>
        <w:rPr/>
        <w:t>fœto-maternelle</w:t>
      </w:r>
      <w:r>
        <w:rPr/>
        <w:t>)</w:t>
      </w:r>
    </w:p>
    <w:p>
      <w:pPr>
        <w:numPr>
          <w:ilvl w:val="1"/>
          <w:numId w:val="63"/>
        </w:numPr>
      </w:pPr>
      <w:r>
        <w:rPr>
          <w:b/>
        </w:rPr>
        <w:t>CONSEQUENCES</w:t>
      </w:r>
    </w:p>
    <w:p>
      <w:pPr>
        <w:numPr>
          <w:ilvl w:val="2"/>
          <w:numId w:val="63"/>
        </w:numPr>
      </w:pPr>
      <w:r>
        <w:rPr/>
        <w:t>Défaillances organiques précoces (60%) : endoth</w:t>
      </w:r>
      <w:r>
        <w:rPr/>
        <w:t>éliale</w:t>
      </w:r>
      <w:r>
        <w:rPr/>
        <w:t>, rénale, myocardique, pulmonaire, hépatique, digestive, cutanée</w:t>
      </w:r>
    </w:p>
    <w:p>
      <w:pPr>
        <w:numPr>
          <w:ilvl w:val="2"/>
          <w:numId w:val="63"/>
        </w:numPr>
      </w:pPr>
      <w:r>
        <w:rPr/>
        <w:t>Encéphalopathie néonatale (40%)</w:t>
      </w:r>
    </w:p>
    <w:p>
      <w:pPr>
        <w:numPr>
          <w:ilvl w:val="2"/>
          <w:numId w:val="63"/>
        </w:numPr>
      </w:pPr>
      <w:r>
        <w:rPr/>
        <w:t>Séquelles neurologiques (15-25%) : paralysies cérébrales +++</w:t>
      </w:r>
    </w:p>
    <w:p>
      <w:pPr>
        <w:numPr>
          <w:ilvl w:val="2"/>
          <w:numId w:val="63"/>
        </w:numPr>
      </w:pPr>
      <w:r>
        <w:rPr/>
        <w:t>Encéphalopathie n’est pas égale à asphyxie (</w:t>
      </w:r>
      <w:r>
        <w:rPr/>
        <w:t>50%) et 20% paralysies cérébrales attribuables à l’asphyxie</w:t>
      </w:r>
    </w:p>
    <w:p>
      <w:pPr>
        <w:numPr>
          <w:ilvl w:val="2"/>
          <w:numId w:val="63"/>
        </w:numPr>
      </w:pPr>
      <w:r>
        <w:rPr/>
        <w:t xml:space="preserve">Risque d’encéphalopathie est de 20% pour un acide lactique supérieur ou égal à 11 </w:t>
      </w:r>
      <w:r>
        <w:rPr/>
        <w:t>mmol</w:t>
      </w:r>
      <w:r>
        <w:rPr/>
        <w:t xml:space="preserve">/l ou un déficit de base supérieur ou égale à 16 </w:t>
      </w:r>
      <w:r>
        <w:rPr/>
        <w:t>mmol</w:t>
      </w:r>
      <w:r>
        <w:rPr/>
        <w:t>/l</w:t>
      </w:r>
    </w:p>
    <w:p>
      <w:pPr>
        <w:pStyle w:val="Heading2"/>
      </w:pPr>
      <w:r>
        <w:rPr/>
        <w:t>PRISE EN CHARGE</w:t>
      </w:r>
    </w:p>
    <w:p>
      <w:pPr>
        <w:pStyle w:val="Heading3"/>
        <w:numPr>
          <w:ilvl w:val="0"/>
          <w:numId w:val="135"/>
        </w:numPr>
      </w:pPr>
      <w:r>
        <w:rPr/>
        <w:t>Buts</w:t>
      </w:r>
    </w:p>
    <w:p>
      <w:pPr>
        <w:numPr>
          <w:ilvl w:val="1"/>
          <w:numId w:val="64"/>
        </w:numPr>
      </w:pPr>
      <w:r>
        <w:rPr/>
        <w:t>Restaurer et maintenir les fonctions vitales</w:t>
      </w:r>
    </w:p>
    <w:p>
      <w:pPr>
        <w:numPr>
          <w:ilvl w:val="1"/>
          <w:numId w:val="64"/>
        </w:numPr>
      </w:pPr>
      <w:r>
        <w:rPr/>
        <w:t>Eviter ou traiter les complications</w:t>
      </w:r>
      <w:r>
        <w:rPr/>
        <w:br/>
      </w:r>
    </w:p>
    <w:p>
      <w:pPr>
        <w:pStyle w:val="Heading3"/>
        <w:numPr>
          <w:ilvl w:val="0"/>
          <w:numId w:val="135"/>
        </w:numPr>
      </w:pPr>
      <w:r>
        <w:rPr/>
        <w:t>Moyens</w:t>
      </w:r>
    </w:p>
    <w:p>
      <w:pPr>
        <w:pStyle w:val="Heading4"/>
        <w:numPr>
          <w:ilvl w:val="0"/>
          <w:numId w:val="136"/>
        </w:numPr>
      </w:pPr>
      <w:r>
        <w:rPr/>
        <w:t>Moyens préventifs</w:t>
      </w:r>
    </w:p>
    <w:p>
      <w:pPr>
        <w:numPr>
          <w:ilvl w:val="2"/>
          <w:numId w:val="64"/>
        </w:numPr>
      </w:pPr>
      <w:r>
        <w:rPr/>
        <w:t>Bonne CPN et suivi de la grossesse +++</w:t>
      </w:r>
    </w:p>
    <w:p>
      <w:pPr>
        <w:numPr>
          <w:ilvl w:val="2"/>
          <w:numId w:val="64"/>
        </w:numPr>
      </w:pPr>
      <w:r>
        <w:rPr/>
        <w:t xml:space="preserve">Mise en place des mesures de réanimation </w:t>
      </w:r>
      <w:r>
        <w:rPr>
          <w:i/>
        </w:rPr>
        <w:t xml:space="preserve">à mettre en place si devant un état d’urgence (souffrance </w:t>
      </w:r>
      <w:r>
        <w:rPr>
          <w:i/>
        </w:rPr>
        <w:t>fœtale</w:t>
      </w:r>
      <w:r>
        <w:rPr>
          <w:i/>
        </w:rPr>
        <w:t>, anomalies du RCF)</w:t>
      </w:r>
    </w:p>
    <w:p>
      <w:pPr>
        <w:pStyle w:val="Heading5"/>
      </w:pPr>
      <w:r>
        <w:rPr/>
        <w:t>A EVITER :</w:t>
      </w:r>
    </w:p>
    <w:p>
      <w:pPr>
        <w:numPr>
          <w:ilvl w:val="3"/>
          <w:numId w:val="64"/>
        </w:numPr>
      </w:pPr>
      <w:r>
        <w:rPr/>
        <w:t>Tout état d’hyperoxie, hypocapnie (par hyperventilation), hyperthermie (</w:t>
      </w:r>
      <w:r>
        <w:rPr>
          <w:i/>
        </w:rPr>
        <w:t>accélère le phénomène apoptotique)</w:t>
      </w:r>
    </w:p>
    <w:p>
      <w:pPr>
        <w:numPr>
          <w:ilvl w:val="3"/>
          <w:numId w:val="64"/>
        </w:numPr>
      </w:pPr>
      <w:r>
        <w:rPr/>
        <w:t>Stimulations nociceptives</w:t>
      </w:r>
    </w:p>
    <w:p>
      <w:pPr>
        <w:numPr>
          <w:ilvl w:val="3"/>
          <w:numId w:val="64"/>
        </w:numPr>
      </w:pPr>
      <w:r>
        <w:rPr/>
        <w:t>Médicaments potentiellement toxiques</w:t>
      </w:r>
    </w:p>
    <w:p>
      <w:pPr>
        <w:numPr>
          <w:ilvl w:val="3"/>
          <w:numId w:val="64"/>
        </w:numPr>
      </w:pPr>
      <w:r>
        <w:rPr/>
        <w:t>Anticonvulsivant sans assistance respiratoire (risque d’hypoventilation) (AR = o2t3 ou VNI ou VI</w:t>
      </w:r>
      <w:r>
        <w:rPr/>
        <w:br/>
      </w:r>
    </w:p>
    <w:p>
      <w:pPr>
        <w:pStyle w:val="Heading5"/>
      </w:pPr>
      <w:r>
        <w:rPr/>
        <w:t>Déconseillé</w:t>
      </w:r>
    </w:p>
    <w:p>
      <w:pPr>
        <w:numPr>
          <w:ilvl w:val="3"/>
          <w:numId w:val="64"/>
        </w:numPr>
      </w:pPr>
      <w:r>
        <w:rPr/>
        <w:t>Correction artificielle des anomalies présentes pendant la phase de récupération</w:t>
      </w:r>
    </w:p>
    <w:p>
      <w:pPr>
        <w:numPr>
          <w:ilvl w:val="4"/>
          <w:numId w:val="64"/>
        </w:numPr>
      </w:pPr>
      <w:r>
        <w:rPr/>
        <w:t>Acidose métabolique sans altération hémodynamique</w:t>
      </w:r>
    </w:p>
    <w:p>
      <w:pPr>
        <w:numPr>
          <w:ilvl w:val="4"/>
          <w:numId w:val="64"/>
        </w:numPr>
      </w:pPr>
      <w:r>
        <w:rPr/>
        <w:t xml:space="preserve">Bradycardie </w:t>
      </w:r>
      <w:r>
        <w:rPr>
          <w:i/>
        </w:rPr>
        <w:t>bien tolérée</w:t>
      </w:r>
      <w:r>
        <w:rPr>
          <w:i/>
        </w:rPr>
        <w:t>, sans autre signe associé : le laisser se débrouiller</w:t>
      </w:r>
    </w:p>
    <w:p>
      <w:pPr>
        <w:numPr>
          <w:ilvl w:val="4"/>
          <w:numId w:val="64"/>
        </w:numPr>
      </w:pPr>
      <w:r>
        <w:rPr/>
        <w:t>Troubles de l’hémostase sans syndrome hémorragique clinique</w:t>
      </w:r>
      <w:r>
        <w:rPr/>
        <w:br/>
      </w:r>
    </w:p>
    <w:p>
      <w:pPr>
        <w:pStyle w:val="Heading4"/>
        <w:numPr>
          <w:ilvl w:val="0"/>
          <w:numId w:val="136"/>
        </w:numPr>
      </w:pPr>
      <w:r>
        <w:rPr/>
        <w:t>En phase aiguë :</w:t>
      </w:r>
    </w:p>
    <w:p>
      <w:pPr>
        <w:numPr>
          <w:ilvl w:val="3"/>
          <w:numId w:val="64"/>
        </w:numPr>
      </w:pPr>
      <w:r>
        <w:rPr/>
        <w:t>Ventilation artificielle</w:t>
      </w:r>
    </w:p>
    <w:p>
      <w:pPr>
        <w:numPr>
          <w:ilvl w:val="3"/>
          <w:numId w:val="64"/>
        </w:numPr>
      </w:pPr>
      <w:r>
        <w:rPr/>
        <w:t xml:space="preserve">Maintien de l’hémodynamique : TA (hypotension : ischémie +++, HTA : hémorragie +++), dysfonction </w:t>
      </w:r>
      <w:r>
        <w:rPr/>
        <w:t>myoca</w:t>
      </w:r>
    </w:p>
    <w:p>
      <w:pPr>
        <w:numPr>
          <w:ilvl w:val="3"/>
          <w:numId w:val="64"/>
        </w:numPr>
      </w:pPr>
      <w:r>
        <w:rPr/>
        <w:t>Eq AB et He : restriction hydrique, bicarbonates si acidose sévère (</w:t>
      </w:r>
      <w:r>
        <w:rPr>
          <w:i/>
        </w:rPr>
        <w:t xml:space="preserve">à ne pas utiliser sur argument clinique : </w:t>
      </w:r>
      <w:r>
        <w:rPr>
          <w:i/>
        </w:rPr>
        <w:t>GDS!!</w:t>
      </w:r>
      <w:r>
        <w:rPr>
          <w:i/>
        </w:rPr>
        <w:t xml:space="preserve"> </w:t>
      </w:r>
    </w:p>
    <w:p>
      <w:pPr>
        <w:numPr>
          <w:ilvl w:val="3"/>
          <w:numId w:val="64"/>
        </w:numPr>
      </w:pPr>
      <w:r>
        <w:rPr/>
        <w:t xml:space="preserve">Maintenir </w:t>
      </w:r>
      <w:r>
        <w:rPr/>
        <w:t>un bon apport énergétique</w:t>
      </w:r>
      <w:r>
        <w:rPr/>
        <w:t xml:space="preserve"> (</w:t>
      </w:r>
      <w:r>
        <w:rPr>
          <w:i/>
        </w:rPr>
        <w:t xml:space="preserve">nutrition parentérale fa </w:t>
      </w:r>
      <w:r>
        <w:rPr>
          <w:i/>
        </w:rPr>
        <w:t>tsy</w:t>
      </w:r>
      <w:r>
        <w:rPr>
          <w:i/>
        </w:rPr>
        <w:t xml:space="preserve"> </w:t>
      </w:r>
      <w:r>
        <w:rPr>
          <w:i/>
        </w:rPr>
        <w:t>polyionique</w:t>
      </w:r>
      <w:r>
        <w:rPr>
          <w:i/>
        </w:rPr>
        <w:t>)</w:t>
      </w:r>
      <w:r>
        <w:rPr>
          <w:i/>
        </w:rPr>
        <w:br/>
      </w:r>
    </w:p>
    <w:p>
      <w:pPr>
        <w:pStyle w:val="Heading4"/>
        <w:numPr>
          <w:ilvl w:val="0"/>
          <w:numId w:val="136"/>
        </w:numPr>
      </w:pPr>
      <w:r>
        <w:rPr/>
        <w:t>Mesures spécifiques</w:t>
      </w:r>
    </w:p>
    <w:p>
      <w:pPr>
        <w:numPr>
          <w:ilvl w:val="3"/>
          <w:numId w:val="64"/>
        </w:numPr>
      </w:pPr>
      <w:r>
        <w:rPr>
          <w:b/>
        </w:rPr>
        <w:t>Œdème</w:t>
      </w:r>
      <w:r>
        <w:rPr>
          <w:b/>
        </w:rPr>
        <w:t xml:space="preserve"> cérébral </w:t>
      </w:r>
      <w:r>
        <w:rPr/>
        <w:t>: restriction hydrique</w:t>
      </w:r>
    </w:p>
    <w:p>
      <w:pPr>
        <w:numPr>
          <w:ilvl w:val="3"/>
          <w:numId w:val="64"/>
        </w:numPr>
      </w:pPr>
      <w:r>
        <w:rPr>
          <w:b/>
        </w:rPr>
        <w:t xml:space="preserve">Convulsions </w:t>
      </w:r>
      <w:r>
        <w:rPr/>
        <w:t>: anticonvulsivants (</w:t>
      </w:r>
      <w:r>
        <w:rPr>
          <w:b/>
        </w:rPr>
        <w:t xml:space="preserve">Phénobarbital </w:t>
      </w:r>
      <w:r>
        <w:rPr/>
        <w:t xml:space="preserve">ou </w:t>
      </w:r>
      <w:r>
        <w:rPr/>
        <w:t>diazépam (</w:t>
      </w:r>
      <w:r>
        <w:rPr>
          <w:i/>
        </w:rPr>
        <w:t xml:space="preserve">non utilisé faute d’assistance </w:t>
      </w:r>
      <w:r>
        <w:rPr>
          <w:i/>
        </w:rPr>
        <w:t>respi</w:t>
      </w:r>
      <w:r>
        <w:rPr>
          <w:i/>
        </w:rPr>
        <w:t>)</w:t>
      </w:r>
    </w:p>
    <w:p>
      <w:pPr>
        <w:numPr>
          <w:ilvl w:val="3"/>
          <w:numId w:val="64"/>
        </w:numPr>
      </w:pPr>
      <w:r>
        <w:rPr>
          <w:b/>
        </w:rPr>
        <w:t xml:space="preserve">Lutte contre les radicaux libres </w:t>
      </w:r>
      <w:r>
        <w:rPr/>
        <w:t>: allopurinol</w:t>
      </w:r>
    </w:p>
    <w:p>
      <w:pPr>
        <w:numPr>
          <w:ilvl w:val="3"/>
          <w:numId w:val="64"/>
        </w:numPr>
      </w:pPr>
      <w:r>
        <w:rPr/>
        <w:t>Antagonistes du Glutamate</w:t>
      </w:r>
    </w:p>
    <w:p>
      <w:pPr>
        <w:numPr>
          <w:ilvl w:val="3"/>
          <w:numId w:val="64"/>
        </w:numPr>
      </w:pPr>
      <w:r>
        <w:rPr/>
        <w:t>Inhibiteurs calciques</w:t>
      </w:r>
      <w:r>
        <w:rPr/>
        <w:br/>
      </w:r>
    </w:p>
    <w:p>
      <w:pPr>
        <w:pStyle w:val="Heading4"/>
        <w:numPr>
          <w:ilvl w:val="0"/>
          <w:numId w:val="136"/>
        </w:numPr>
      </w:pPr>
      <w:r>
        <w:rPr/>
        <w:t>Hypothermie contrôlée +++</w:t>
      </w:r>
    </w:p>
    <w:p>
      <w:pPr>
        <w:numPr>
          <w:ilvl w:val="3"/>
          <w:numId w:val="64"/>
        </w:numPr>
      </w:pPr>
      <w:r>
        <w:rPr/>
        <w:t>Température de l’enfant est abaissée entre 33 et 34°C et maintenue à ce niveau pendant 72h</w:t>
      </w:r>
    </w:p>
    <w:p>
      <w:pPr>
        <w:numPr>
          <w:ilvl w:val="3"/>
          <w:numId w:val="64"/>
        </w:numPr>
      </w:pPr>
      <w:r>
        <w:rPr/>
        <w:t>Analgésie systématique est nécessaire</w:t>
      </w:r>
    </w:p>
    <w:p>
      <w:pPr>
        <w:numPr>
          <w:ilvl w:val="3"/>
          <w:numId w:val="64"/>
        </w:numPr>
      </w:pPr>
      <w:r>
        <w:rPr/>
        <w:t>Avant la 6ème heure</w:t>
      </w:r>
    </w:p>
    <w:p>
      <w:pPr>
        <w:numPr>
          <w:ilvl w:val="3"/>
          <w:numId w:val="64"/>
        </w:numPr>
      </w:pPr>
      <w:r>
        <w:rPr>
          <w:i/>
        </w:rPr>
        <w:t>Pour éviter l’installation des séquelles neurologiques</w:t>
      </w:r>
    </w:p>
    <w:p>
      <w:pPr>
        <w:numPr>
          <w:ilvl w:val="3"/>
          <w:numId w:val="64"/>
        </w:numPr>
      </w:pPr>
      <w:r>
        <w:rPr/>
        <w:t>Critères d’adhésion :</w:t>
      </w:r>
    </w:p>
    <w:p>
      <w:pPr>
        <w:ind w:left="720"/>
      </w:pPr>
      <w:r>
        <w:drawing>
          <wp:inline xmlns:a="http://schemas.openxmlformats.org/drawingml/2006/main" xmlns:pic="http://schemas.openxmlformats.org/drawingml/2006/picture">
            <wp:extent cx="20345400" cy="15227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0" cy="1522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/>
      </w:pPr>
    </w:p>
    <w:p>
      <w:pPr>
        <w:ind w:left="720"/>
      </w:pPr>
    </w:p>
    <w:p>
      <w:pPr>
        <w:pStyle w:val="Heading2"/>
      </w:pPr>
      <w:r>
        <w:rPr/>
        <w:t>PRONOSTIC</w:t>
      </w:r>
    </w:p>
    <w:p>
      <w:pPr/>
      <w:r>
        <w:rPr/>
        <w:t>Dépend de 03 éléments :</w:t>
      </w:r>
    </w:p>
    <w:p>
      <w:pPr>
        <w:numPr>
          <w:ilvl w:val="0"/>
          <w:numId w:val="65"/>
        </w:numPr>
      </w:pPr>
      <w:r>
        <w:rPr>
          <w:b/>
        </w:rPr>
        <w:t>Clinique</w:t>
      </w:r>
      <w:r>
        <w:rPr/>
        <w:t xml:space="preserve"> : présence et gravité de l’encéphalopathie </w:t>
      </w:r>
      <w:r>
        <w:rPr/>
        <w:t>post asphyxique</w:t>
      </w:r>
    </w:p>
    <w:p>
      <w:pPr>
        <w:numPr>
          <w:ilvl w:val="1"/>
          <w:numId w:val="65"/>
        </w:numPr>
      </w:pPr>
      <w:r>
        <w:rPr>
          <w:i/>
        </w:rPr>
        <w:t>Bon si Asphyxie sans Encéphalopathie ou Asphyxie + encéphalopathie légère</w:t>
      </w:r>
    </w:p>
    <w:p>
      <w:pPr>
        <w:numPr>
          <w:ilvl w:val="1"/>
          <w:numId w:val="65"/>
        </w:numPr>
      </w:pPr>
      <w:r>
        <w:rPr>
          <w:i/>
        </w:rPr>
        <w:t>Mauvais si Encéphalopathie modérée ou sévère</w:t>
      </w:r>
    </w:p>
    <w:p>
      <w:pPr>
        <w:numPr>
          <w:ilvl w:val="0"/>
          <w:numId w:val="65"/>
        </w:numPr>
      </w:pPr>
      <w:r>
        <w:rPr>
          <w:b/>
        </w:rPr>
        <w:t xml:space="preserve">Examens </w:t>
      </w:r>
      <w:r>
        <w:rPr>
          <w:b/>
        </w:rPr>
        <w:t>électrophysiologiques</w:t>
      </w:r>
      <w:r>
        <w:rPr/>
        <w:t xml:space="preserve"> : EEG ++++ (avant H24, dans les premières 48h soit répété soit continue) </w:t>
      </w:r>
      <w:r>
        <w:rPr>
          <w:i/>
        </w:rPr>
        <w:t xml:space="preserve">(tracé plat = 0 </w:t>
      </w:r>
      <w:r>
        <w:rPr>
          <w:i/>
        </w:rPr>
        <w:t>activité cérébrale</w:t>
      </w:r>
    </w:p>
    <w:p>
      <w:pPr>
        <w:numPr>
          <w:ilvl w:val="0"/>
          <w:numId w:val="65"/>
        </w:numPr>
      </w:pPr>
      <w:r>
        <w:rPr>
          <w:b/>
        </w:rPr>
        <w:t>Imagerie</w:t>
      </w:r>
      <w:r>
        <w:rPr/>
        <w:t xml:space="preserve"> : IRM+++</w:t>
      </w:r>
    </w:p>
    <w:p>
      <w:pPr/>
    </w:p>
    <w:p>
      <w:pPr/>
      <w:r>
        <w:rPr/>
        <w:t>NB : autres examens : EEG d’amplitude ou les potentiels évoqués (auditifs ou somesthésiques)</w:t>
      </w:r>
    </w:p>
    <w:p>
      <w:pPr>
        <w:numPr>
          <w:ilvl w:val="0"/>
          <w:numId w:val="66"/>
        </w:numPr>
      </w:pPr>
      <w:r>
        <w:rPr/>
        <w:t>Encéphalopathie post asphyxique : conséquences à long terme (</w:t>
      </w:r>
      <w:r>
        <w:rPr>
          <w:i/>
        </w:rPr>
        <w:t>PC)</w:t>
      </w:r>
    </w:p>
    <w:p>
      <w:pPr>
        <w:numPr>
          <w:ilvl w:val="0"/>
          <w:numId w:val="66"/>
        </w:numPr>
      </w:pPr>
      <w:r>
        <w:rPr/>
        <w:t>Etat de mal convulsif à plus de 48h : pronostic très réservé</w:t>
      </w:r>
    </w:p>
    <w:p>
      <w:pPr>
        <w:numPr>
          <w:ilvl w:val="0"/>
          <w:numId w:val="66"/>
        </w:numPr>
      </w:pPr>
      <w:r>
        <w:rPr/>
        <w:t>Lésions des noyaux gris centraux</w:t>
      </w:r>
    </w:p>
    <w:p>
      <w:pPr>
        <w:numPr>
          <w:ilvl w:val="0"/>
          <w:numId w:val="66"/>
        </w:numPr>
      </w:pPr>
      <w:r>
        <w:rPr/>
        <w:t>Lésions cortico-sous corticales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1539200" cy="16116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0" cy="1611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67"/>
        </w:numPr>
      </w:pPr>
      <w:r>
        <w:rPr/>
        <w:t>3ème cause de mortalité après les infections néonatales et prématurités</w:t>
      </w:r>
    </w:p>
    <w:p>
      <w:pPr>
        <w:numPr>
          <w:ilvl w:val="0"/>
          <w:numId w:val="67"/>
        </w:numPr>
      </w:pPr>
      <w:r>
        <w:rPr/>
        <w:t>Asphyxie n’est pas synonyme d’encéphalopathie</w:t>
      </w:r>
    </w:p>
    <w:p>
      <w:pPr>
        <w:numPr>
          <w:ilvl w:val="0"/>
          <w:numId w:val="67"/>
        </w:numPr>
      </w:pPr>
      <w:r>
        <w:rPr/>
        <w:t>Présence d’encéphalopathie : pronostic neurologique</w:t>
      </w:r>
    </w:p>
    <w:p>
      <w:pPr>
        <w:numPr>
          <w:ilvl w:val="0"/>
          <w:numId w:val="67"/>
        </w:numPr>
      </w:pPr>
      <w:r>
        <w:rPr/>
        <w:t>Mise en jeu du pronostic vital</w:t>
      </w:r>
    </w:p>
    <w:p>
      <w:pPr>
        <w:numPr>
          <w:ilvl w:val="0"/>
          <w:numId w:val="67"/>
        </w:numPr>
      </w:pPr>
      <w:r>
        <w:rPr/>
        <w:t xml:space="preserve">HYPOTHERMIE CONTROLEE </w:t>
      </w:r>
      <w:r>
        <w:rPr>
          <w:i/>
        </w:rPr>
        <w:t>afin d’éviter le plus possible les séquelles neurologiques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