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DÉVELOPPEMENT SOMATIQUE DE L'ENFANT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0"/>
        </w:numPr>
      </w:pPr>
      <w:r>
        <w:rPr/>
        <w:t>Connaître les normes de référence de la croissance et maturation de l'enfant</w:t>
      </w:r>
    </w:p>
    <w:p>
      <w:pPr>
        <w:numPr>
          <w:ilvl w:val="0"/>
          <w:numId w:val="40"/>
        </w:numPr>
      </w:pPr>
      <w:r>
        <w:rPr/>
        <w:t>Citer les facteurs qui influencent le développement d'un enfant</w:t>
      </w:r>
    </w:p>
    <w:p>
      <w:pPr>
        <w:numPr>
          <w:ilvl w:val="0"/>
          <w:numId w:val="40"/>
        </w:numPr>
      </w:pPr>
      <w:r>
        <w:rPr/>
        <w:t>Connaître le rythme de suivi du développement de l'enfant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</w:t>
      </w:r>
      <w:r>
        <w:rPr/>
        <w:t xml:space="preserve"> </w:t>
      </w:r>
    </w:p>
    <w:p>
      <w:pPr>
        <w:numPr>
          <w:ilvl w:val="1"/>
          <w:numId w:val="41"/>
        </w:numPr>
      </w:pPr>
      <w:r>
        <w:rPr/>
        <w:t>Ensemble des phénomènes physiques qui contribuent à la croissance</w:t>
      </w:r>
    </w:p>
    <w:p>
      <w:pPr>
        <w:numPr>
          <w:ilvl w:val="1"/>
          <w:numId w:val="41"/>
        </w:numPr>
      </w:pPr>
      <w:r>
        <w:rPr/>
        <w:t>Début = dès la conception ; fin = âge adulte</w:t>
      </w:r>
    </w:p>
    <w:p>
      <w:pPr>
        <w:numPr>
          <w:ilvl w:val="1"/>
          <w:numId w:val="41"/>
        </w:numPr>
      </w:pPr>
      <w:r>
        <w:rPr/>
        <w:t xml:space="preserve">Résultat de double processus : </w:t>
      </w:r>
      <w:r>
        <w:rPr>
          <w:b/>
        </w:rPr>
        <w:t xml:space="preserve">CROISSANCE &amp; MATURATION </w:t>
      </w:r>
    </w:p>
    <w:p>
      <w:pPr>
        <w:numPr>
          <w:ilvl w:val="1"/>
          <w:numId w:val="41"/>
        </w:numPr>
      </w:pPr>
      <w:r>
        <w:rPr>
          <w:b/>
        </w:rPr>
        <w:t>Trois caractéristiques : Global</w:t>
      </w:r>
      <w:r>
        <w:rPr>
          <w:b/>
        </w:rPr>
        <w:t xml:space="preserve"> </w:t>
      </w:r>
      <w:r>
        <w:rPr>
          <w:b/>
        </w:rPr>
        <w:t>(</w:t>
      </w:r>
      <w:r>
        <w:rPr>
          <w:i/>
        </w:rPr>
        <w:t>à la fois de la tête et de tout le corps, des organes</w:t>
      </w:r>
      <w:r>
        <w:rPr>
          <w:i/>
        </w:rPr>
        <w:t>),</w:t>
      </w:r>
      <w:r>
        <w:rPr>
          <w:b/>
        </w:rPr>
        <w:t xml:space="preserve"> variable selon les périodes de la vie, propre à chaque individu</w:t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41"/>
        </w:numPr>
      </w:pPr>
      <w:r>
        <w:rPr/>
        <w:t>Suivre l'évolution normale de l'enfant</w:t>
      </w:r>
    </w:p>
    <w:p>
      <w:pPr>
        <w:numPr>
          <w:ilvl w:val="1"/>
          <w:numId w:val="41"/>
        </w:numPr>
      </w:pPr>
      <w:r>
        <w:rPr/>
        <w:t>Dépister à temps toute anomalie pour planifier la prise en charge</w:t>
      </w:r>
    </w:p>
    <w:p>
      <w:pPr/>
    </w:p>
    <w:p>
      <w:pPr>
        <w:pStyle w:val="Heading2"/>
      </w:pPr>
      <w:r>
        <w:rPr/>
        <w:t>FACTEURS DE DÉVELOPPEMENT SOMATIQUE</w:t>
      </w:r>
    </w:p>
    <w:p>
      <w:pPr>
        <w:pStyle w:val="Heading3"/>
        <w:numPr>
          <w:ilvl w:val="0"/>
          <w:numId w:val="74"/>
        </w:numPr>
      </w:pPr>
      <w:r>
        <w:rPr/>
        <w:t>Facteurs intrinsèques</w:t>
      </w:r>
    </w:p>
    <w:p>
      <w:pPr>
        <w:numPr>
          <w:ilvl w:val="1"/>
          <w:numId w:val="42"/>
        </w:numPr>
      </w:pPr>
      <w:r>
        <w:rPr/>
        <w:t xml:space="preserve">Génétiques : familial, </w:t>
      </w:r>
      <w:r>
        <w:rPr/>
        <w:t>ethnique</w:t>
      </w:r>
      <w:r>
        <w:rPr/>
        <w:t>, sexuel</w:t>
      </w:r>
    </w:p>
    <w:p>
      <w:pPr>
        <w:numPr>
          <w:ilvl w:val="1"/>
          <w:numId w:val="42"/>
        </w:numPr>
      </w:pPr>
      <w:r>
        <w:rPr/>
        <w:t>Hormonaux :</w:t>
      </w:r>
    </w:p>
    <w:p>
      <w:pPr>
        <w:numPr>
          <w:ilvl w:val="2"/>
          <w:numId w:val="42"/>
        </w:numPr>
      </w:pPr>
      <w:r>
        <w:rPr/>
        <w:t xml:space="preserve">Hormones de croissance (secrétées pendant le sommeil profond) </w:t>
      </w:r>
    </w:p>
    <w:p>
      <w:pPr>
        <w:numPr>
          <w:ilvl w:val="2"/>
          <w:numId w:val="42"/>
        </w:numPr>
      </w:pPr>
      <w:r>
        <w:rPr/>
        <w:t xml:space="preserve">Hormones thyroïdiennes </w:t>
      </w:r>
    </w:p>
    <w:p>
      <w:pPr>
        <w:numPr>
          <w:ilvl w:val="2"/>
          <w:numId w:val="42"/>
        </w:numPr>
      </w:pPr>
      <w:r>
        <w:rPr/>
        <w:t>Hormones corticosurrénaliennes</w:t>
      </w:r>
    </w:p>
    <w:p>
      <w:pPr>
        <w:numPr>
          <w:ilvl w:val="2"/>
          <w:numId w:val="42"/>
        </w:numPr>
      </w:pPr>
      <w:r>
        <w:rPr/>
        <w:t>Hormones sexuelles</w:t>
      </w:r>
    </w:p>
    <w:p>
      <w:pPr>
        <w:pStyle w:val="Heading3"/>
        <w:numPr>
          <w:ilvl w:val="0"/>
          <w:numId w:val="74"/>
        </w:numPr>
      </w:pPr>
      <w:r>
        <w:rPr/>
        <w:t>Facteurs extrinsèques :</w:t>
      </w:r>
    </w:p>
    <w:p>
      <w:pPr>
        <w:numPr>
          <w:ilvl w:val="1"/>
          <w:numId w:val="42"/>
        </w:numPr>
      </w:pPr>
      <w:r>
        <w:rPr/>
        <w:t>Alimentation</w:t>
      </w:r>
    </w:p>
    <w:p>
      <w:pPr>
        <w:numPr>
          <w:ilvl w:val="1"/>
          <w:numId w:val="42"/>
        </w:numPr>
      </w:pPr>
      <w:r>
        <w:rPr/>
        <w:t xml:space="preserve">Hygiène de vie </w:t>
      </w:r>
    </w:p>
    <w:p>
      <w:pPr>
        <w:numPr>
          <w:ilvl w:val="1"/>
          <w:numId w:val="42"/>
        </w:numPr>
      </w:pPr>
      <w:r>
        <w:rPr/>
        <w:t>Conditions socio-économiques</w:t>
      </w:r>
    </w:p>
    <w:p>
      <w:pPr>
        <w:numPr>
          <w:ilvl w:val="1"/>
          <w:numId w:val="42"/>
        </w:numPr>
      </w:pPr>
      <w:r>
        <w:rPr/>
        <w:t>Conditions psycho-affectives (</w:t>
      </w:r>
      <w:r>
        <w:rPr>
          <w:i/>
        </w:rPr>
        <w:t>bedy</w:t>
      </w:r>
      <w:r>
        <w:rPr>
          <w:i/>
        </w:rPr>
        <w:t xml:space="preserve"> lava ??) </w:t>
      </w:r>
    </w:p>
    <w:p>
      <w:pPr>
        <w:numPr>
          <w:ilvl w:val="1"/>
          <w:numId w:val="42"/>
        </w:numPr>
      </w:pPr>
      <w:r>
        <w:rPr/>
        <w:t>Suivi médical</w:t>
      </w:r>
    </w:p>
    <w:p>
      <w:pPr/>
    </w:p>
    <w:p>
      <w:pPr>
        <w:pStyle w:val="Heading2"/>
      </w:pPr>
      <w:r>
        <w:rPr/>
        <w:t>ETUDE DU DÉVELOPPEMENT SOMATIQUE</w:t>
      </w:r>
    </w:p>
    <w:p>
      <w:pPr>
        <w:pStyle w:val="Heading3"/>
        <w:numPr>
          <w:ilvl w:val="0"/>
          <w:numId w:val="70"/>
        </w:numPr>
      </w:pPr>
      <w:r>
        <w:rPr/>
        <w:t>Croissance</w:t>
      </w:r>
    </w:p>
    <w:p>
      <w:pPr>
        <w:numPr>
          <w:ilvl w:val="1"/>
          <w:numId w:val="43"/>
        </w:numPr>
      </w:pPr>
      <w:r>
        <w:rPr/>
        <w:t>Croissance pondérale</w:t>
      </w:r>
    </w:p>
    <w:p>
      <w:pPr>
        <w:numPr>
          <w:ilvl w:val="1"/>
          <w:numId w:val="43"/>
        </w:numPr>
      </w:pPr>
      <w:r>
        <w:rPr/>
        <w:t>Croissance staturale</w:t>
      </w:r>
    </w:p>
    <w:p>
      <w:pPr>
        <w:numPr>
          <w:ilvl w:val="1"/>
          <w:numId w:val="43"/>
        </w:numPr>
      </w:pPr>
      <w:r>
        <w:rPr/>
        <w:t xml:space="preserve">Indice de masse corporelle (IMC) </w:t>
      </w:r>
    </w:p>
    <w:p>
      <w:pPr>
        <w:numPr>
          <w:ilvl w:val="1"/>
          <w:numId w:val="43"/>
        </w:numPr>
      </w:pPr>
      <w:r>
        <w:rPr/>
        <w:t>Croissance crânienne</w:t>
      </w:r>
    </w:p>
    <w:p>
      <w:pPr>
        <w:numPr>
          <w:ilvl w:val="1"/>
          <w:numId w:val="43"/>
        </w:numPr>
      </w:pPr>
      <w:r>
        <w:rPr/>
        <w:t>Croissance thoracique</w:t>
      </w:r>
    </w:p>
    <w:p>
      <w:pPr>
        <w:numPr>
          <w:ilvl w:val="1"/>
          <w:numId w:val="43"/>
        </w:numPr>
      </w:pPr>
      <w:r>
        <w:rPr/>
        <w:t>Rythme de surveillance de la croissance</w:t>
      </w:r>
    </w:p>
    <w:p>
      <w:pPr/>
    </w:p>
    <w:p>
      <w:pPr>
        <w:pStyle w:val="Heading4"/>
        <w:numPr>
          <w:ilvl w:val="0"/>
          <w:numId w:val="71"/>
        </w:numPr>
      </w:pPr>
      <w:r>
        <w:rPr/>
        <w:t xml:space="preserve">Croissance </w:t>
      </w:r>
      <w:r>
        <w:rPr/>
        <w:t>pondérale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Période/ âge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Normes et observations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Période néonatale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Perte physiologique les 3 premiers jours (moins de 10%)</w:t>
            </w:r>
            <w:r>
              <w:rPr>
                <w:i/>
              </w:rPr>
              <w:t>34 minutes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A 5 mois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P=PN x 2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A 12 mois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P = PN x 3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A 2 ans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 xml:space="preserve">P = PN x 4 ; puis fonte du panicule </w:t>
            </w:r>
            <w:r>
              <w:rPr/>
              <w:t>adipeuse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De 2 ans à la puberté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Gain de 2kg par an environ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A la puberté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Garçon : augmentation de la masse maigre (taille et force musculaire)</w:t>
            </w:r>
          </w:p>
          <w:p>
            <w:pPr>
              <w:jc w:val="center"/>
            </w:pPr>
            <w:r>
              <w:rPr/>
              <w:t>Fille : augmentation de la masse grasse</w:t>
            </w:r>
          </w:p>
        </w:tc>
      </w:tr>
    </w:tbl>
    <w:p>
      <w:pPr>
        <w:pStyle w:val="Heading4"/>
        <w:numPr>
          <w:ilvl w:val="0"/>
          <w:numId w:val="71"/>
        </w:numPr>
      </w:pPr>
      <w:r>
        <w:rPr/>
        <w:t xml:space="preserve">Croissance </w:t>
      </w:r>
      <w:r>
        <w:rPr/>
        <w:t>staturale :</w:t>
      </w:r>
      <w:r>
        <w:rPr/>
        <w:t xml:space="preserve"> reflet de la vitesse de croissance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Période / âge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Normes et observations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Nouveau-né à terme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Tn</w:t>
            </w:r>
            <w:r>
              <w:rPr/>
              <w:t>=50cm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6 mois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65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12 mois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75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2 ans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85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3 ans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93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4 ans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TNx2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5-12 ans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Gain de 5 à 6 cm par an</w:t>
            </w:r>
          </w:p>
        </w:tc>
      </w:tr>
    </w:tbl>
    <w:p>
      <w:pPr>
        <w:ind w:left="720"/>
      </w:pPr>
    </w:p>
    <w:p>
      <w:pPr>
        <w:numPr>
          <w:ilvl w:val="0"/>
          <w:numId w:val="44"/>
        </w:numPr>
      </w:pPr>
      <w:r>
        <w:rPr>
          <w:b/>
        </w:rPr>
        <w:t>Techniques de mesure de la taille</w:t>
      </w:r>
    </w:p>
    <w:p>
      <w:pPr>
        <w:numPr>
          <w:ilvl w:val="1"/>
          <w:numId w:val="44"/>
        </w:numPr>
      </w:pPr>
      <w:r>
        <w:rPr/>
        <w:t>Position couchée chez moins de 2 ans</w:t>
      </w:r>
    </w:p>
    <w:p>
      <w:pPr>
        <w:numPr>
          <w:ilvl w:val="1"/>
          <w:numId w:val="44"/>
        </w:numPr>
      </w:pPr>
      <w:r>
        <w:rPr/>
        <w:t>Debout chez plus de 2 ans</w:t>
      </w:r>
    </w:p>
    <w:p>
      <w:pPr>
        <w:pStyle w:val="Heading4"/>
        <w:numPr>
          <w:ilvl w:val="0"/>
          <w:numId w:val="71"/>
        </w:numPr>
      </w:pPr>
      <w:r>
        <w:rPr/>
        <w:t>IMC</w:t>
      </w:r>
    </w:p>
    <w:p>
      <w:pPr>
        <w:numPr>
          <w:ilvl w:val="1"/>
          <w:numId w:val="44"/>
        </w:numPr>
      </w:pPr>
      <w:r>
        <w:rPr/>
        <w:t>Évaluation corpulence et prévenir les troubles nutritionnels</w:t>
      </w:r>
    </w:p>
    <w:p>
      <w:pPr>
        <w:numPr>
          <w:ilvl w:val="1"/>
          <w:numId w:val="44"/>
        </w:numPr>
      </w:pPr>
      <w:r>
        <w:rPr/>
        <w:t xml:space="preserve">Indice de QUETELET : IMC (Kg/m2) = P/T2 (M2) </w:t>
      </w:r>
      <w:r>
        <w:rPr>
          <w:i/>
        </w:rPr>
        <w:t>normal : 18-24</w:t>
      </w:r>
    </w:p>
    <w:p>
      <w:pPr/>
    </w:p>
    <w:p>
      <w:pPr>
        <w:pStyle w:val="Heading4"/>
        <w:numPr>
          <w:ilvl w:val="0"/>
          <w:numId w:val="71"/>
        </w:numPr>
      </w:pPr>
      <w:r>
        <w:rPr/>
        <w:t>Périmètre crânien : reflet de la croissance du cerveau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Période / âge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Normes et observations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Nouveau-né à terme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PC =35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Jusqu'à 12 mois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T/2+10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12 mois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47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2 ans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48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3 ans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49.5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5 ans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51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10 ans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52.5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Adulte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55</w:t>
            </w:r>
          </w:p>
        </w:tc>
      </w:tr>
    </w:tbl>
    <w:p>
      <w:pPr/>
    </w:p>
    <w:p>
      <w:pPr>
        <w:numPr>
          <w:ilvl w:val="0"/>
          <w:numId w:val="45"/>
        </w:numPr>
      </w:pPr>
      <w:r>
        <w:rPr/>
        <w:t xml:space="preserve">PC et Fontanelle : 2 fontanelles à la naissance (espaces membraneux entre les os du crâne) </w:t>
      </w:r>
    </w:p>
    <w:p>
      <w:pPr>
        <w:numPr>
          <w:ilvl w:val="1"/>
          <w:numId w:val="45"/>
        </w:numPr>
      </w:pPr>
      <w:r>
        <w:rPr/>
        <w:t>Ant : losange 3cm, fermeture entre 15-18, anomalie si dépasse 24 mois</w:t>
      </w:r>
    </w:p>
    <w:p>
      <w:pPr>
        <w:numPr>
          <w:ilvl w:val="1"/>
          <w:numId w:val="45"/>
        </w:numPr>
      </w:pPr>
      <w:r>
        <w:rPr/>
        <w:t>Fontanelle postérieure : fermeture avant 2 mois</w:t>
      </w:r>
    </w:p>
    <w:p>
      <w:pPr>
        <w:numPr>
          <w:ilvl w:val="1"/>
          <w:numId w:val="45"/>
        </w:numPr>
      </w:pPr>
      <w:r>
        <w:rPr/>
        <w:t>Fonctions : permet à la croissance du cerveau et au chevauchement des os du crâne lors de l'expulsion de la tête à l'accouchement</w:t>
      </w:r>
    </w:p>
    <w:p>
      <w:pPr>
        <w:numPr>
          <w:ilvl w:val="1"/>
          <w:numId w:val="45"/>
        </w:numPr>
      </w:pPr>
      <w:r>
        <w:rPr/>
        <w:t>Anomalies</w:t>
      </w:r>
    </w:p>
    <w:p>
      <w:pPr>
        <w:numPr>
          <w:ilvl w:val="2"/>
          <w:numId w:val="45"/>
        </w:numPr>
      </w:pPr>
      <w:r>
        <w:rPr/>
        <w:t>Fermeture trop tôt : craniosténose</w:t>
      </w:r>
    </w:p>
    <w:p>
      <w:pPr>
        <w:numPr>
          <w:ilvl w:val="2"/>
          <w:numId w:val="45"/>
        </w:numPr>
      </w:pPr>
      <w:r>
        <w:rPr/>
        <w:t>Tardive : rachitisme</w:t>
      </w:r>
    </w:p>
    <w:p>
      <w:pPr>
        <w:numPr>
          <w:ilvl w:val="2"/>
          <w:numId w:val="45"/>
        </w:numPr>
      </w:pPr>
      <w:r>
        <w:rPr/>
        <w:t>Bombement :</w:t>
      </w:r>
      <w:r>
        <w:rPr/>
        <w:t xml:space="preserve"> tension intracrânienne</w:t>
      </w:r>
    </w:p>
    <w:p>
      <w:pPr>
        <w:numPr>
          <w:ilvl w:val="2"/>
          <w:numId w:val="45"/>
        </w:numPr>
      </w:pPr>
      <w:r>
        <w:rPr/>
        <w:t>Dépression : déshydratation</w:t>
      </w:r>
      <w:r>
        <w:rPr/>
        <w:br/>
      </w:r>
    </w:p>
    <w:p>
      <w:pPr>
        <w:pStyle w:val="Heading4"/>
        <w:numPr>
          <w:ilvl w:val="0"/>
          <w:numId w:val="71"/>
        </w:numPr>
      </w:pPr>
      <w:r>
        <w:rPr/>
        <w:t>Périmètre thoracique</w:t>
      </w:r>
    </w:p>
    <w:p>
      <w:pPr>
        <w:numPr>
          <w:ilvl w:val="1"/>
          <w:numId w:val="45"/>
        </w:numPr>
      </w:pPr>
      <w:r>
        <w:rPr/>
        <w:t xml:space="preserve">Surveillance au cours des premiers mois si pathologie </w:t>
      </w:r>
      <w:r>
        <w:rPr/>
        <w:t>respiratoire(</w:t>
      </w:r>
      <w:r>
        <w:rPr/>
        <w:t>DR néonat, bronchiolite, dysplasie bronchopulmonaire), osseuse ou malformation congénitale</w:t>
      </w:r>
      <w:r>
        <w:rP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/>
            <w:r>
              <w:rPr>
                <w:color w:val="FFFFFF"/>
              </w:rPr>
              <w:t>Période Age</w:t>
            </w:r>
          </w:p>
        </w:tc>
        <w:tc>
          <w:tcPr>
            <w:tcW w:type="dxa" w:w="4621"/>
          </w:tcPr>
          <w:p/>
          <w:p>
            <w:pPr/>
            <w:r>
              <w:rPr>
                <w:color w:val="FFFFFF"/>
              </w:rPr>
              <w:t>Normes et observations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Naissance</w:t>
            </w:r>
          </w:p>
        </w:tc>
        <w:tc>
          <w:tcPr>
            <w:tcW w:type="dxa" w:w="4621"/>
          </w:tcPr>
          <w:p/>
          <w:p>
            <w:pPr/>
            <w:r>
              <w:rPr/>
              <w:t>PT</w:t>
            </w:r>
            <w:r>
              <w:rPr/>
            </w:r>
            <w:r>
              <w:rPr/>
              <w:t>PC ; environ 32 cm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6 mois</w:t>
            </w:r>
          </w:p>
        </w:tc>
        <w:tc>
          <w:tcPr>
            <w:tcW w:type="dxa" w:w="4621"/>
          </w:tcPr>
          <w:p/>
          <w:p>
            <w:pPr/>
            <w:r>
              <w:rPr/>
              <w:t>PT = PC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12 mois</w:t>
            </w:r>
          </w:p>
        </w:tc>
        <w:tc>
          <w:tcPr>
            <w:tcW w:type="dxa" w:w="4621"/>
          </w:tcPr>
          <w:p/>
          <w:p>
            <w:pPr/>
            <w:r>
              <w:rPr/>
              <w:t>PT</w:t>
            </w:r>
            <w:r>
              <w:rPr/>
            </w:r>
            <w:r>
              <w:rPr/>
              <w:t>PC</w:t>
            </w:r>
          </w:p>
        </w:tc>
      </w:tr>
    </w:tbl>
    <w:p>
      <w:pPr/>
    </w:p>
    <w:p>
      <w:pPr>
        <w:pStyle w:val="Heading4"/>
        <w:numPr>
          <w:ilvl w:val="0"/>
          <w:numId w:val="71"/>
        </w:numPr>
      </w:pPr>
      <w:r>
        <w:rPr/>
        <w:t>Rythme de surveillance de la croissance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/>
            <w:r>
              <w:rPr>
                <w:color w:val="FFFFFF"/>
              </w:rPr>
              <w:t>Période Age</w:t>
            </w:r>
          </w:p>
        </w:tc>
        <w:tc>
          <w:tcPr>
            <w:tcW w:type="dxa" w:w="4621"/>
          </w:tcPr>
          <w:p/>
          <w:p>
            <w:pPr/>
            <w:r>
              <w:rPr>
                <w:color w:val="FFFFFF"/>
              </w:rPr>
              <w:t>Rythme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Jusqu'à 6 mois</w:t>
            </w:r>
          </w:p>
        </w:tc>
        <w:tc>
          <w:tcPr>
            <w:tcW w:type="dxa" w:w="4621"/>
          </w:tcPr>
          <w:p/>
          <w:p>
            <w:pPr/>
            <w:r>
              <w:rPr/>
              <w:t>Mensuel : 1er certificat de santé à J8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6-12 mois</w:t>
            </w:r>
          </w:p>
        </w:tc>
        <w:tc>
          <w:tcPr>
            <w:tcW w:type="dxa" w:w="4621"/>
          </w:tcPr>
          <w:p/>
          <w:p>
            <w:pPr/>
            <w:r>
              <w:rPr/>
              <w:t>Trimestriel : certificat à 9 mois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1 à 2ans</w:t>
            </w:r>
          </w:p>
        </w:tc>
        <w:tc>
          <w:tcPr>
            <w:tcW w:type="dxa" w:w="4621"/>
          </w:tcPr>
          <w:p/>
          <w:p>
            <w:pPr/>
            <w:r>
              <w:rPr/>
              <w:t>Tous les 4 mois : certificat à 2 ans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2 à 6 ans</w:t>
            </w:r>
          </w:p>
        </w:tc>
        <w:tc>
          <w:tcPr>
            <w:tcW w:type="dxa" w:w="4621"/>
          </w:tcPr>
          <w:p/>
          <w:p>
            <w:pPr/>
            <w:r>
              <w:rPr/>
              <w:t>2 fois par an</w:t>
            </w:r>
          </w:p>
        </w:tc>
      </w:tr>
    </w:tbl>
    <w:p>
      <w:pPr/>
    </w:p>
    <w:p>
      <w:pPr/>
      <w:r>
        <w:rPr>
          <w:color w:val="FF0000"/>
        </w:rPr>
        <w:t xml:space="preserve">Toutes les mesures sont enregistrées dans le carnet de santé, </w:t>
      </w:r>
      <w:r>
        <w:rPr>
          <w:i/>
          <w:color w:val="000000"/>
        </w:rPr>
        <w:t>(</w:t>
      </w:r>
      <w:r>
        <w:rPr>
          <w:i/>
          <w:color w:val="000000"/>
        </w:rPr>
        <w:t>tenenina</w:t>
      </w:r>
      <w:r>
        <w:rPr>
          <w:i/>
          <w:color w:val="000000"/>
        </w:rPr>
        <w:t xml:space="preserve"> </w:t>
      </w:r>
      <w:r>
        <w:rPr>
          <w:i/>
          <w:color w:val="000000"/>
        </w:rPr>
        <w:t>ny</w:t>
      </w:r>
      <w:r>
        <w:rPr>
          <w:i/>
          <w:color w:val="000000"/>
        </w:rPr>
        <w:t xml:space="preserve"> parent </w:t>
      </w:r>
      <w:r>
        <w:rPr>
          <w:i/>
          <w:color w:val="000000"/>
        </w:rPr>
        <w:t>hoe</w:t>
      </w:r>
      <w:r>
        <w:rPr>
          <w:i/>
          <w:color w:val="000000"/>
        </w:rPr>
        <w:t xml:space="preserve"> important </w:t>
      </w:r>
      <w:r>
        <w:rPr>
          <w:i/>
          <w:color w:val="000000"/>
        </w:rPr>
        <w:t>be</w:t>
      </w:r>
      <w:r>
        <w:rPr>
          <w:i/>
          <w:color w:val="000000"/>
        </w:rPr>
        <w:t xml:space="preserve"> </w:t>
      </w:r>
      <w:r>
        <w:rPr>
          <w:i/>
          <w:color w:val="000000"/>
        </w:rPr>
        <w:t>ny</w:t>
      </w:r>
      <w:r>
        <w:rPr>
          <w:i/>
          <w:color w:val="000000"/>
        </w:rPr>
        <w:t xml:space="preserve"> carnet, </w:t>
      </w:r>
      <w:r>
        <w:rPr>
          <w:i/>
          <w:color w:val="000000"/>
        </w:rPr>
        <w:t>ohatran'ny</w:t>
      </w:r>
      <w:r>
        <w:rPr>
          <w:i/>
          <w:color w:val="000000"/>
        </w:rPr>
        <w:t xml:space="preserve"> CIN) </w:t>
      </w:r>
      <w:r>
        <w:rPr>
          <w:color w:val="FF0000"/>
        </w:rPr>
        <w:t xml:space="preserve">retranscrites sur les courbes </w:t>
      </w:r>
      <w:r>
        <w:rPr>
          <w:b/>
          <w:color w:val="FF0000"/>
        </w:rPr>
        <w:t xml:space="preserve">(courbe dans le carnet de santé) </w:t>
      </w:r>
      <w:r>
        <w:rPr>
          <w:color w:val="FF0000"/>
        </w:rPr>
        <w:t xml:space="preserve">: comparées aux valeurs standards (dépister les écarts) et aux valeurs précédentes de l'enfant (voir les tendances) </w:t>
      </w:r>
    </w:p>
    <w:p>
      <w:pPr/>
    </w:p>
    <w:p>
      <w:pPr>
        <w:pStyle w:val="Heading3"/>
        <w:numPr>
          <w:ilvl w:val="0"/>
          <w:numId w:val="70"/>
        </w:numPr>
      </w:pPr>
      <w:r>
        <w:rPr/>
        <w:t>Maturation</w:t>
      </w:r>
    </w:p>
    <w:p>
      <w:pPr>
        <w:pStyle w:val="Heading4"/>
        <w:numPr>
          <w:ilvl w:val="0"/>
          <w:numId w:val="72"/>
        </w:numPr>
      </w:pPr>
      <w:r>
        <w:rPr/>
        <w:t>Maturation osseuse</w:t>
      </w:r>
    </w:p>
    <w:p>
      <w:pPr>
        <w:numPr>
          <w:ilvl w:val="2"/>
          <w:numId w:val="46"/>
        </w:numPr>
      </w:pPr>
      <w:r>
        <w:rPr>
          <w:color w:val="000000"/>
        </w:rPr>
        <w:t>Ossification (calcification) des os</w:t>
      </w:r>
    </w:p>
    <w:p>
      <w:pPr>
        <w:numPr>
          <w:ilvl w:val="3"/>
          <w:numId w:val="46"/>
        </w:numPr>
      </w:pPr>
      <w:r>
        <w:rPr>
          <w:color w:val="000000"/>
        </w:rPr>
        <w:t>Début : dès 5ème mois de la vie intra-utérine et se poursuit jusqu'à la fin de l'adolescence</w:t>
      </w:r>
    </w:p>
    <w:p>
      <w:pPr>
        <w:numPr>
          <w:ilvl w:val="3"/>
          <w:numId w:val="46"/>
        </w:numPr>
      </w:pPr>
      <w:r>
        <w:rPr>
          <w:color w:val="000000"/>
        </w:rPr>
        <w:t xml:space="preserve">À partir des points d'ossification (centre des petits os du poignet, centre et extrémités des os longs) </w:t>
      </w:r>
    </w:p>
    <w:p>
      <w:pPr>
        <w:numPr>
          <w:ilvl w:val="2"/>
          <w:numId w:val="46"/>
        </w:numPr>
      </w:pPr>
      <w:r>
        <w:rPr>
          <w:color w:val="000000"/>
        </w:rPr>
        <w:t xml:space="preserve">Mesure de la maturation osseuse : radiographie : </w:t>
      </w:r>
      <w:r>
        <w:rPr>
          <w:b/>
          <w:color w:val="000000"/>
        </w:rPr>
        <w:t>âge osseux</w:t>
      </w:r>
    </w:p>
    <w:p>
      <w:pPr>
        <w:numPr>
          <w:ilvl w:val="0"/>
          <w:numId w:val="46"/>
        </w:numPr>
      </w:pPr>
      <w:r>
        <w:drawing>
          <wp:inline xmlns:a="http://schemas.openxmlformats.org/drawingml/2006/main" xmlns:pic="http://schemas.openxmlformats.org/drawingml/2006/picture">
            <wp:extent cx="50800000" cy="38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numPr>
          <w:ilvl w:val="0"/>
          <w:numId w:val="72"/>
        </w:numPr>
      </w:pPr>
      <w:r>
        <w:rPr/>
        <w:t>Maturation dentaire</w:t>
      </w:r>
    </w:p>
    <w:p>
      <w:pPr>
        <w:numPr>
          <w:ilvl w:val="2"/>
          <w:numId w:val="46"/>
        </w:numPr>
      </w:pPr>
      <w:r>
        <w:rPr>
          <w:color w:val="000000"/>
        </w:rPr>
        <w:t>Début = fin de la vie embryonnaire ; fin = âge adulte</w:t>
      </w:r>
    </w:p>
    <w:p>
      <w:pPr>
        <w:numPr>
          <w:ilvl w:val="2"/>
          <w:numId w:val="46"/>
        </w:numPr>
      </w:pPr>
      <w:r>
        <w:rPr>
          <w:color w:val="000000"/>
        </w:rPr>
        <w:t>Deux types de dentition : temporaire (dents de lait) et définitive</w:t>
      </w:r>
    </w:p>
    <w:p>
      <w:pPr>
        <w:numPr>
          <w:ilvl w:val="2"/>
          <w:numId w:val="46"/>
        </w:numPr>
      </w:pPr>
      <w:r>
        <w:rPr>
          <w:b/>
          <w:color w:val="000000"/>
        </w:rPr>
        <w:t>Dentition temporaire</w:t>
      </w:r>
      <w:r>
        <w:rPr>
          <w:b/>
          <w:color w:val="000000"/>
        </w:rPr>
        <w:tab/>
      </w:r>
    </w:p>
    <w:p>
      <w:pPr>
        <w:numPr>
          <w:ilvl w:val="3"/>
          <w:numId w:val="46"/>
        </w:numPr>
      </w:pPr>
      <w:r>
        <w:rPr>
          <w:color w:val="000000"/>
        </w:rPr>
        <w:t>Apparition des bourgeons chez l'embryon</w:t>
      </w:r>
    </w:p>
    <w:p>
      <w:pPr>
        <w:numPr>
          <w:ilvl w:val="3"/>
          <w:numId w:val="46"/>
        </w:numPr>
      </w:pPr>
      <w:r>
        <w:rPr>
          <w:color w:val="000000"/>
        </w:rPr>
        <w:t>Début de la calcification dès 5ème mois de VIU</w:t>
      </w:r>
    </w:p>
    <w:p>
      <w:pPr>
        <w:numPr>
          <w:ilvl w:val="3"/>
          <w:numId w:val="46"/>
        </w:numPr>
      </w:pPr>
      <w:r>
        <w:rPr>
          <w:color w:val="000000"/>
        </w:rPr>
        <w:t xml:space="preserve">6 mois -3 ans : 20 dents selon l'ordre : </w:t>
      </w:r>
    </w:p>
    <w:p>
      <w:pPr>
        <w:numPr>
          <w:ilvl w:val="4"/>
          <w:numId w:val="46"/>
        </w:numPr>
      </w:pPr>
      <w:r>
        <w:rPr>
          <w:color w:val="000000"/>
        </w:rPr>
        <w:t>8 incisives</w:t>
      </w:r>
    </w:p>
    <w:p>
      <w:pPr>
        <w:numPr>
          <w:ilvl w:val="4"/>
          <w:numId w:val="46"/>
        </w:numPr>
      </w:pPr>
      <w:r>
        <w:rPr>
          <w:color w:val="000000"/>
        </w:rPr>
        <w:t>4 premières molaires</w:t>
      </w:r>
    </w:p>
    <w:p>
      <w:pPr>
        <w:numPr>
          <w:ilvl w:val="4"/>
          <w:numId w:val="46"/>
        </w:numPr>
      </w:pPr>
      <w:r>
        <w:rPr>
          <w:color w:val="000000"/>
        </w:rPr>
        <w:t>4 Canines</w:t>
      </w:r>
    </w:p>
    <w:p>
      <w:pPr>
        <w:numPr>
          <w:ilvl w:val="4"/>
          <w:numId w:val="46"/>
        </w:numPr>
      </w:pPr>
      <w:r>
        <w:rPr>
          <w:color w:val="000000"/>
        </w:rPr>
        <w:t>4 deuxièmes molaires</w:t>
      </w:r>
      <w:r>
        <w:rPr>
          <w:color w:val="000000"/>
        </w:rPr>
        <w:br/>
      </w:r>
    </w:p>
    <w:p>
      <w:pPr>
        <w:numPr>
          <w:ilvl w:val="2"/>
          <w:numId w:val="46"/>
        </w:numPr>
      </w:pPr>
      <w:r>
        <w:rPr>
          <w:b/>
          <w:color w:val="000000"/>
        </w:rPr>
        <w:t>Dentition définitive</w:t>
      </w:r>
    </w:p>
    <w:p>
      <w:pPr>
        <w:numPr>
          <w:ilvl w:val="3"/>
          <w:numId w:val="46"/>
        </w:numPr>
      </w:pPr>
      <w:r>
        <w:rPr>
          <w:color w:val="000000"/>
        </w:rPr>
        <w:t>Vers 6 ans : chute des 1ères dents et poussée des 1ères molaires : 24 dents</w:t>
      </w:r>
    </w:p>
    <w:p>
      <w:pPr>
        <w:numPr>
          <w:ilvl w:val="3"/>
          <w:numId w:val="46"/>
        </w:numPr>
      </w:pPr>
      <w:r>
        <w:rPr>
          <w:color w:val="000000"/>
        </w:rPr>
        <w:t>12 ans : + 4 molaires (2ème) : 28 dents</w:t>
      </w:r>
    </w:p>
    <w:p>
      <w:pPr>
        <w:numPr>
          <w:ilvl w:val="3"/>
          <w:numId w:val="46"/>
        </w:numPr>
      </w:pPr>
      <w:r>
        <w:rPr>
          <w:color w:val="000000"/>
        </w:rPr>
        <w:t>18 ans : + 4 dernières molaires (dents de sagesse) : 32 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