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ENTEROCOLITE ULCERO-NECROSANTE</w:t>
      </w:r>
    </w:p>
    <w:p>
      <w:pPr>
        <w:pStyle w:val="Heading2"/>
      </w:pPr>
      <w:r>
        <w:rPr/>
        <w:t>Objectifs</w:t>
      </w:r>
    </w:p>
    <w:p>
      <w:pPr>
        <w:numPr>
          <w:ilvl w:val="0"/>
          <w:numId w:val="7"/>
        </w:numPr>
      </w:pPr>
      <w:r>
        <w:rPr/>
        <w:t>Identifier les situations à risques d’ECUN</w:t>
      </w:r>
    </w:p>
    <w:p>
      <w:pPr>
        <w:numPr>
          <w:ilvl w:val="0"/>
          <w:numId w:val="7"/>
        </w:numPr>
      </w:pPr>
      <w:r>
        <w:rPr/>
        <w:t>Poser le diagnostic</w:t>
      </w:r>
    </w:p>
    <w:p>
      <w:pPr>
        <w:numPr>
          <w:ilvl w:val="0"/>
          <w:numId w:val="7"/>
        </w:numPr>
      </w:pPr>
      <w:r>
        <w:rPr/>
        <w:t>Citer les complications</w:t>
      </w:r>
    </w:p>
    <w:p>
      <w:pPr>
        <w:numPr>
          <w:ilvl w:val="0"/>
          <w:numId w:val="7"/>
        </w:numPr>
      </w:pPr>
      <w:r>
        <w:rPr/>
        <w:t>Décrire les principes du traitement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8"/>
        </w:numPr>
      </w:pPr>
      <w:r>
        <w:rPr/>
        <w:t>L’ECUN est caractérisé par un processus inflammatoire excessif qui débute au sein de la muqueuse intestinale provoquant une nécrose intestinale et une atteinte généralisée multi-systémique plus ou moins sévère</w:t>
      </w:r>
    </w:p>
    <w:p>
      <w:pPr>
        <w:numPr>
          <w:ilvl w:val="0"/>
          <w:numId w:val="8"/>
        </w:numPr>
      </w:pPr>
      <w:r>
        <w:rPr/>
        <w:t>Il s’agit d’une des maladies les plus dévastatrice et une des plus difficile à éradiquer</w:t>
      </w:r>
    </w:p>
    <w:p>
      <w:pPr>
        <w:numPr>
          <w:ilvl w:val="0"/>
          <w:numId w:val="8"/>
        </w:numPr>
      </w:pPr>
      <w:r>
        <w:rPr/>
        <w:t>1</w:t>
      </w:r>
      <w:r>
        <w:rPr/>
        <w:t>ère</w:t>
      </w:r>
      <w:r>
        <w:rPr/>
        <w:t xml:space="preserve"> urgence chirurgicale néonatale</w:t>
      </w:r>
    </w:p>
    <w:p>
      <w:pPr>
        <w:numPr>
          <w:ilvl w:val="0"/>
          <w:numId w:val="8"/>
        </w:numPr>
      </w:pPr>
      <w:r>
        <w:rPr/>
        <w:t>0,3 - 2,4 % naissances soit 1/400-3000 naissances</w:t>
      </w:r>
    </w:p>
    <w:p>
      <w:pPr>
        <w:numPr>
          <w:ilvl w:val="0"/>
          <w:numId w:val="8"/>
        </w:numPr>
      </w:pPr>
      <w:r>
        <w:rPr/>
        <w:t>90% sont des prématurés</w:t>
      </w:r>
    </w:p>
    <w:p>
      <w:pPr>
        <w:numPr>
          <w:ilvl w:val="1"/>
          <w:numId w:val="8"/>
        </w:numPr>
      </w:pPr>
      <w:r>
        <w:rPr/>
        <w:t>0,5-15% des prématurés &lt; 1500g</w:t>
      </w:r>
    </w:p>
    <w:p>
      <w:pPr/>
    </w:p>
    <w:p>
      <w:pPr>
        <w:pStyle w:val="Heading2"/>
      </w:pPr>
      <w:r>
        <w:rPr/>
        <w:t>SITUATIONS A RISQUE</w:t>
      </w:r>
    </w:p>
    <w:p>
      <w:pPr/>
      <w:r>
        <w:rPr>
          <w:b/>
        </w:rPr>
        <w:t>Il existe plusieurs causes et processus physiopathologiques qui induisent des ECN</w:t>
      </w:r>
    </w:p>
    <w:p>
      <w:pPr/>
      <w:r>
        <w:rPr>
          <w:b/>
        </w:rPr>
        <w:t>Les prématurés sont à risque d’ECN :</w:t>
      </w:r>
    </w:p>
    <w:p>
      <w:pPr>
        <w:numPr>
          <w:ilvl w:val="0"/>
          <w:numId w:val="9"/>
        </w:numPr>
      </w:pPr>
      <w:r>
        <w:rPr/>
        <w:t xml:space="preserve">Motilité intestinale et péristaltisme </w:t>
      </w:r>
      <w:r>
        <w:rPr>
          <w:i/>
        </w:rPr>
        <w:t>lente, immature</w:t>
      </w:r>
    </w:p>
    <w:p>
      <w:pPr>
        <w:numPr>
          <w:ilvl w:val="0"/>
          <w:numId w:val="9"/>
        </w:numPr>
      </w:pPr>
      <w:r>
        <w:rPr/>
        <w:t>Fonctions digestives</w:t>
      </w:r>
      <w:r>
        <w:rPr/>
        <w:t xml:space="preserve"> et d’absorption </w:t>
      </w:r>
      <w:r>
        <w:rPr>
          <w:i/>
        </w:rPr>
        <w:t>immature</w:t>
      </w:r>
    </w:p>
    <w:p>
      <w:pPr>
        <w:numPr>
          <w:ilvl w:val="0"/>
          <w:numId w:val="9"/>
        </w:numPr>
      </w:pPr>
      <w:r>
        <w:rPr/>
        <w:t xml:space="preserve">Défenses immunitaires </w:t>
      </w:r>
      <w:r>
        <w:rPr>
          <w:i/>
        </w:rPr>
        <w:t>immatures</w:t>
      </w:r>
    </w:p>
    <w:p>
      <w:pPr>
        <w:numPr>
          <w:ilvl w:val="0"/>
          <w:numId w:val="9"/>
        </w:numPr>
      </w:pPr>
      <w:r>
        <w:rPr/>
        <w:t xml:space="preserve">Flore intestinale </w:t>
      </w:r>
      <w:r>
        <w:rPr>
          <w:i/>
        </w:rPr>
        <w:t>non encore en place</w:t>
      </w:r>
    </w:p>
    <w:p>
      <w:pPr>
        <w:numPr>
          <w:ilvl w:val="0"/>
          <w:numId w:val="9"/>
        </w:numPr>
      </w:pPr>
      <w:r>
        <w:rPr/>
        <w:t xml:space="preserve">Muqueuse intestinale - barrière </w:t>
      </w:r>
    </w:p>
    <w:p>
      <w:pPr>
        <w:numPr>
          <w:ilvl w:val="0"/>
          <w:numId w:val="9"/>
        </w:numPr>
      </w:pPr>
      <w:r>
        <w:rPr/>
        <w:t xml:space="preserve">Circulation sanguine </w:t>
      </w:r>
      <w:r>
        <w:rPr>
          <w:i/>
        </w:rPr>
        <w:t xml:space="preserve">pas au point </w:t>
      </w:r>
    </w:p>
    <w:p>
      <w:pPr/>
    </w:p>
    <w:p>
      <w:pPr/>
      <w:r>
        <w:rPr/>
        <w:t>Une préoccupation classique est que l’alimentation entérale peut favoriser le développement des ECN</w:t>
      </w:r>
    </w:p>
    <w:p>
      <w:pPr/>
      <w:r>
        <w:rPr>
          <w:i/>
        </w:rPr>
        <w:t>Peut donner aussi une ECN : infection intestinale directe venant de l’extérieur</w:t>
      </w:r>
    </w:p>
    <w:p>
      <w:pPr/>
    </w:p>
    <w:p>
      <w:pPr/>
      <w:r>
        <w:rPr/>
        <w:t>Nutrition entérale et ECN</w:t>
      </w:r>
    </w:p>
    <w:p>
      <w:pPr/>
      <w:r>
        <w:rPr/>
        <w:t>Soupçonner une intolérance digestive et un risque potentiel d’ECN sont des problèmes souvent rencontrés dans les centres de néonatologie intensive</w:t>
      </w:r>
    </w:p>
    <w:p>
      <w:pPr/>
    </w:p>
    <w:p>
      <w:pPr>
        <w:jc w:val="center"/>
      </w:pPr>
    </w:p>
    <w:p>
      <w:pPr>
        <w:jc w:val="center"/>
      </w:pPr>
      <w:r>
        <w:rPr/>
        <w:t>Craintes d’ECN</w:t>
      </w:r>
    </w:p>
    <w:p>
      <w:pPr/>
      <w:r>
        <w:rPr/>
        <w:t>-&gt; suppression de l’introduction de l’alimentation entérale</w:t>
      </w:r>
    </w:p>
    <w:p>
      <w:pPr/>
      <w:r>
        <w:rPr/>
        <w:t>-&gt; ralentissement de l’évolution de l’alimentation</w:t>
      </w:r>
    </w:p>
    <w:p>
      <w:pPr/>
      <w:r>
        <w:rPr/>
        <w:t>-&gt; Insuffisance des apports nutritionnels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SIGNES CLINIQUES TYPIQUES</w:t>
      </w:r>
    </w:p>
    <w:p>
      <w:pPr>
        <w:pStyle w:val="Heading4"/>
      </w:pPr>
      <w:r>
        <w:rPr/>
        <w:t>Observation des signes systémiques de l’ECN</w:t>
      </w:r>
    </w:p>
    <w:p>
      <w:pPr>
        <w:numPr>
          <w:ilvl w:val="2"/>
          <w:numId w:val="10"/>
        </w:numPr>
      </w:pPr>
      <w:r>
        <w:rPr/>
        <w:t>Altération de l’état général et inconfort</w:t>
      </w:r>
    </w:p>
    <w:p>
      <w:pPr>
        <w:numPr>
          <w:ilvl w:val="2"/>
          <w:numId w:val="10"/>
        </w:numPr>
      </w:pPr>
      <w:r>
        <w:rPr/>
        <w:t>Apnées, bradycardies</w:t>
      </w:r>
    </w:p>
    <w:p>
      <w:pPr>
        <w:numPr>
          <w:ilvl w:val="2"/>
          <w:numId w:val="10"/>
        </w:numPr>
      </w:pPr>
      <w:r>
        <w:rPr/>
        <w:t>Léthargie</w:t>
      </w:r>
    </w:p>
    <w:p>
      <w:pPr>
        <w:numPr>
          <w:ilvl w:val="2"/>
          <w:numId w:val="10"/>
        </w:numPr>
      </w:pPr>
      <w:r>
        <w:rPr/>
        <w:t>Altération de la coloration des téguments, gris-pâle “teint d’infecté”</w:t>
      </w:r>
    </w:p>
    <w:p>
      <w:pPr>
        <w:numPr>
          <w:ilvl w:val="2"/>
          <w:numId w:val="10"/>
        </w:numPr>
      </w:pPr>
      <w:r>
        <w:rPr/>
        <w:t>Troubles thermiques</w:t>
      </w:r>
    </w:p>
    <w:p>
      <w:pPr>
        <w:numPr>
          <w:ilvl w:val="2"/>
          <w:numId w:val="10"/>
        </w:numPr>
      </w:pPr>
      <w:r>
        <w:rPr/>
        <w:t>Hyperglycémie</w:t>
      </w:r>
      <w:r>
        <w:rPr/>
        <w:br/>
      </w:r>
    </w:p>
    <w:p>
      <w:pPr>
        <w:pStyle w:val="Heading4"/>
      </w:pPr>
      <w:r>
        <w:rPr/>
        <w:t>Observation des signes digestifs de l’ECN</w:t>
      </w:r>
    </w:p>
    <w:p>
      <w:pPr>
        <w:numPr>
          <w:ilvl w:val="2"/>
          <w:numId w:val="10"/>
        </w:numPr>
      </w:pPr>
      <w:r>
        <w:rPr/>
        <w:t>Ballonnement avec abdomen distendu et douloureux</w:t>
      </w:r>
    </w:p>
    <w:p>
      <w:pPr>
        <w:numPr>
          <w:ilvl w:val="2"/>
          <w:numId w:val="10"/>
        </w:numPr>
      </w:pPr>
      <w:r>
        <w:rPr/>
        <w:t>Apparition de plaques cutanées rouges, bleutées, parfois anses intestinales visibles</w:t>
      </w:r>
    </w:p>
    <w:p>
      <w:pPr>
        <w:numPr>
          <w:ilvl w:val="2"/>
          <w:numId w:val="10"/>
        </w:numPr>
      </w:pPr>
      <w:r>
        <w:rPr/>
        <w:t>Hématochézie</w:t>
      </w:r>
      <w:r>
        <w:rPr/>
        <w:t xml:space="preserve"> : sang frais dans les selles</w:t>
      </w:r>
    </w:p>
    <w:p>
      <w:pPr>
        <w:numPr>
          <w:ilvl w:val="2"/>
          <w:numId w:val="10"/>
        </w:numPr>
      </w:pPr>
      <w:r>
        <w:rPr/>
        <w:t>Vomissements</w:t>
      </w:r>
    </w:p>
    <w:p>
      <w:pPr>
        <w:numPr>
          <w:ilvl w:val="2"/>
          <w:numId w:val="10"/>
        </w:numPr>
      </w:pPr>
      <w:r>
        <w:rPr/>
        <w:t xml:space="preserve">Régurgitation de plus en plus volumineuse, </w:t>
      </w:r>
      <w:r>
        <w:rPr>
          <w:i/>
        </w:rPr>
        <w:t>rouge puis jaune puis</w:t>
      </w:r>
      <w:r>
        <w:rPr/>
        <w:t xml:space="preserve"> verts, sanglants, voire fécaloïdes</w:t>
      </w:r>
      <w:r>
        <w:rPr/>
        <w:br/>
      </w:r>
    </w:p>
    <w:p>
      <w:pPr>
        <w:pStyle w:val="Heading3"/>
      </w:pPr>
      <w:r>
        <w:rPr/>
        <w:t>FORMES CLINIQUES SELON L’EVOLUTION</w:t>
      </w:r>
    </w:p>
    <w:p>
      <w:pPr>
        <w:pStyle w:val="Heading4"/>
      </w:pPr>
      <w:r>
        <w:rPr/>
        <w:t>Evolution clinique des ECN</w:t>
      </w:r>
    </w:p>
    <w:p>
      <w:pPr>
        <w:numPr>
          <w:ilvl w:val="2"/>
          <w:numId w:val="10"/>
        </w:numPr>
      </w:pPr>
      <w:r>
        <w:rPr/>
        <w:t>Signes cliniques parfois très peu spécifique au début</w:t>
      </w:r>
    </w:p>
    <w:p>
      <w:pPr>
        <w:numPr>
          <w:ilvl w:val="2"/>
          <w:numId w:val="10"/>
        </w:numPr>
      </w:pPr>
      <w:r>
        <w:rPr/>
        <w:t>Parfois asymptomatique</w:t>
      </w:r>
    </w:p>
    <w:p>
      <w:pPr>
        <w:numPr>
          <w:ilvl w:val="2"/>
          <w:numId w:val="10"/>
        </w:numPr>
      </w:pPr>
      <w:r>
        <w:rPr/>
        <w:t>Dégradation clinique parfois très rapide</w:t>
      </w:r>
    </w:p>
    <w:p>
      <w:pPr>
        <w:numPr>
          <w:ilvl w:val="3"/>
          <w:numId w:val="10"/>
        </w:numPr>
      </w:pPr>
      <w:r>
        <w:rPr/>
        <w:t>“abdomen aigu”</w:t>
      </w:r>
    </w:p>
    <w:p>
      <w:pPr>
        <w:numPr>
          <w:ilvl w:val="3"/>
          <w:numId w:val="10"/>
        </w:numPr>
      </w:pPr>
      <w:r>
        <w:rPr/>
        <w:t>Péritonite</w:t>
      </w:r>
    </w:p>
    <w:p>
      <w:pPr>
        <w:numPr>
          <w:ilvl w:val="3"/>
          <w:numId w:val="10"/>
        </w:numPr>
      </w:pPr>
      <w:r>
        <w:rPr/>
        <w:t>Hématochézie</w:t>
      </w:r>
    </w:p>
    <w:p>
      <w:pPr>
        <w:numPr>
          <w:ilvl w:val="3"/>
          <w:numId w:val="10"/>
        </w:numPr>
      </w:pPr>
      <w:r>
        <w:rPr/>
        <w:t>AEG</w:t>
      </w:r>
    </w:p>
    <w:p>
      <w:pPr>
        <w:numPr>
          <w:ilvl w:val="3"/>
          <w:numId w:val="10"/>
        </w:numPr>
      </w:pPr>
      <w:r>
        <w:rPr/>
        <w:t>Défaillance multi-systémique</w:t>
      </w:r>
    </w:p>
    <w:p>
      <w:pPr>
        <w:numPr>
          <w:ilvl w:val="3"/>
          <w:numId w:val="10"/>
        </w:numPr>
      </w:pPr>
      <w:r>
        <w:rPr/>
        <w:t>Déc</w:t>
      </w:r>
      <w:r>
        <w:rPr/>
        <w:t>ès</w:t>
      </w:r>
    </w:p>
    <w:p>
      <w:pPr/>
      <w:r>
        <w:drawing>
          <wp:inline xmlns:a="http://schemas.openxmlformats.org/drawingml/2006/main" xmlns:pic="http://schemas.openxmlformats.org/drawingml/2006/picture">
            <wp:extent cx="5730240" cy="4291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1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>EXAMENS PARACLINIQUES</w:t>
      </w:r>
    </w:p>
    <w:p>
      <w:pPr>
        <w:numPr>
          <w:ilvl w:val="1"/>
          <w:numId w:val="10"/>
        </w:numPr>
      </w:pPr>
      <w:r>
        <w:rPr>
          <w:b/>
        </w:rPr>
        <w:t>Laboratoire</w:t>
      </w:r>
      <w:r>
        <w:rPr/>
        <w:t xml:space="preserve"> (contrôles fréquents)</w:t>
      </w:r>
    </w:p>
    <w:p>
      <w:pPr>
        <w:numPr>
          <w:ilvl w:val="2"/>
          <w:numId w:val="10"/>
        </w:numPr>
      </w:pPr>
      <w:r>
        <w:rPr/>
        <w:t>NFS (thrombopénie, neutropénie, anémie)</w:t>
      </w:r>
    </w:p>
    <w:p>
      <w:pPr>
        <w:numPr>
          <w:ilvl w:val="2"/>
          <w:numId w:val="10"/>
        </w:numPr>
      </w:pPr>
      <w:r>
        <w:rPr/>
        <w:t>Protéines de l’inflammation (CRP)</w:t>
      </w:r>
    </w:p>
    <w:p>
      <w:pPr>
        <w:numPr>
          <w:ilvl w:val="2"/>
          <w:numId w:val="10"/>
        </w:numPr>
      </w:pPr>
      <w:r>
        <w:rPr/>
        <w:t>Gaz, électrolytes et glycémie (acidose, hyperglycémie, troubles électrolytiques)</w:t>
      </w:r>
    </w:p>
    <w:p>
      <w:pPr>
        <w:numPr>
          <w:ilvl w:val="2"/>
          <w:numId w:val="10"/>
        </w:numPr>
      </w:pPr>
      <w:r>
        <w:rPr/>
        <w:t>Tests de coagulation (CIVD)</w:t>
      </w:r>
      <w:r>
        <w:rPr/>
        <w:br/>
      </w:r>
    </w:p>
    <w:p>
      <w:pPr>
        <w:numPr>
          <w:ilvl w:val="1"/>
          <w:numId w:val="10"/>
        </w:numPr>
      </w:pPr>
      <w:r>
        <w:rPr>
          <w:b/>
        </w:rPr>
        <w:t>Cultures</w:t>
      </w:r>
      <w:r>
        <w:rPr/>
        <w:t xml:space="preserve"> (bactéries, virus et levures)</w:t>
      </w:r>
    </w:p>
    <w:p>
      <w:pPr>
        <w:numPr>
          <w:ilvl w:val="2"/>
          <w:numId w:val="10"/>
        </w:numPr>
      </w:pPr>
      <w:r>
        <w:rPr/>
        <w:t>Hémoculture et coproculture</w:t>
      </w:r>
      <w:r>
        <w:rPr/>
        <w:br/>
      </w:r>
    </w:p>
    <w:p>
      <w:pPr>
        <w:numPr>
          <w:ilvl w:val="1"/>
          <w:numId w:val="10"/>
        </w:numPr>
      </w:pPr>
      <w:r>
        <w:rPr>
          <w:b/>
        </w:rPr>
        <w:t>Diagnostic confirmé par l’imagerie médicale</w:t>
      </w:r>
      <w:r>
        <w:rPr/>
        <w:t xml:space="preserve"> (radiographie et échographie)</w:t>
      </w:r>
    </w:p>
    <w:p>
      <w:pPr>
        <w:numPr>
          <w:ilvl w:val="2"/>
          <w:numId w:val="10"/>
        </w:numPr>
      </w:pPr>
      <w:r>
        <w:rPr/>
        <w:t>Pneumatose</w:t>
      </w:r>
      <w:r>
        <w:rPr/>
        <w:t xml:space="preserve"> : bulles d’air dans la paroi intestinale</w:t>
      </w:r>
    </w:p>
    <w:p>
      <w:pPr>
        <w:numPr>
          <w:ilvl w:val="2"/>
          <w:numId w:val="10"/>
        </w:numPr>
      </w:pPr>
      <w:r>
        <w:rPr/>
        <w:t>Aéroportie</w:t>
      </w:r>
      <w:r>
        <w:rPr/>
        <w:t xml:space="preserve"> : bulles d’air dans les espaces portes</w:t>
      </w:r>
    </w:p>
    <w:p>
      <w:pPr>
        <w:numPr>
          <w:ilvl w:val="2"/>
          <w:numId w:val="10"/>
        </w:numPr>
      </w:pPr>
      <w:r>
        <w:rPr/>
        <w:t xml:space="preserve">Ascite </w:t>
      </w:r>
      <w:r>
        <w:rPr>
          <w:i/>
        </w:rPr>
        <w:t>de petite quantité mais exsudative (inflammatoire)</w:t>
      </w:r>
    </w:p>
    <w:p>
      <w:pPr>
        <w:spacing w:after="200"/>
      </w:pPr>
      <w:r>
        <w:rPr>
          <w:i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