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FIÈVRE PROLONGÉE</w:t>
      </w:r>
      <w:r>
        <w:rPr/>
        <w:t xml:space="preserve"> </w:t>
      </w:r>
      <w:r>
        <w:rPr/>
        <w:t>(Fièvre d'origine indéterminée)</w:t>
      </w:r>
      <w:r>
        <w:rPr/>
        <w:t xml:space="preserve"> </w:t>
      </w:r>
    </w:p>
    <w:p>
      <w:pPr>
        <w:pStyle w:val="Heading2"/>
      </w:pPr>
      <w:r>
        <w:rPr/>
        <w:t xml:space="preserve">Objectifs : </w:t>
      </w:r>
    </w:p>
    <w:p>
      <w:pPr>
        <w:numPr>
          <w:ilvl w:val="0"/>
          <w:numId w:val="22"/>
        </w:numPr>
      </w:pPr>
      <w:r>
        <w:rPr/>
        <w:t>Définir la fièvre prolong</w:t>
      </w:r>
      <w:r>
        <w:rPr/>
        <w:t>ée</w:t>
      </w:r>
    </w:p>
    <w:p>
      <w:pPr>
        <w:numPr>
          <w:ilvl w:val="0"/>
          <w:numId w:val="22"/>
        </w:numPr>
      </w:pPr>
      <w:r>
        <w:rPr/>
        <w:t>Caractériser une fièvre prolongée</w:t>
      </w:r>
    </w:p>
    <w:p>
      <w:pPr>
        <w:numPr>
          <w:ilvl w:val="0"/>
          <w:numId w:val="22"/>
        </w:numPr>
      </w:pPr>
      <w:r>
        <w:rPr/>
        <w:t>Faire la démarche diagnostique</w:t>
      </w:r>
    </w:p>
    <w:p>
      <w:pPr>
        <w:numPr>
          <w:ilvl w:val="0"/>
          <w:numId w:val="22"/>
        </w:numPr>
      </w:pPr>
      <w:r>
        <w:rPr/>
        <w:t>Citer les étiologies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23"/>
        </w:numPr>
      </w:pPr>
      <w:r>
        <w:rPr>
          <w:b/>
        </w:rPr>
        <w:t>Varie selon les auteurs</w:t>
      </w:r>
    </w:p>
    <w:p>
      <w:pPr>
        <w:numPr>
          <w:ilvl w:val="2"/>
          <w:numId w:val="23"/>
        </w:numPr>
      </w:pPr>
      <w:r>
        <w:rPr/>
        <w:t xml:space="preserve">T° élevée </w:t>
      </w:r>
      <w:r>
        <w:rPr/>
      </w:r>
      <w:r>
        <w:rPr/>
        <w:t>15 jours à 3 semaines sans l'évidence d'une cause</w:t>
      </w:r>
    </w:p>
    <w:p>
      <w:pPr>
        <w:numPr>
          <w:ilvl w:val="2"/>
          <w:numId w:val="23"/>
        </w:numPr>
      </w:pPr>
      <w:r>
        <w:rPr/>
        <w:t>Ou fièvre supérieure à 38°C pendant plus de 5 jours consécutifs chez le nourrisson ou 10 à 15 jours chez l'enfant plus âgé</w:t>
      </w:r>
    </w:p>
    <w:p>
      <w:pPr>
        <w:numPr>
          <w:ilvl w:val="1"/>
          <w:numId w:val="23"/>
        </w:numPr>
      </w:pPr>
      <w:r>
        <w:rPr/>
        <w:t>Rarement "strictement" isolée :</w:t>
      </w:r>
      <w:r>
        <w:rPr>
          <w:i/>
        </w:rPr>
        <w:t xml:space="preserve"> arthralgies, douleurs osseuses, </w:t>
      </w:r>
      <w:r>
        <w:rPr>
          <w:i/>
        </w:rPr>
        <w:t>etc...</w:t>
      </w:r>
      <w:r>
        <w:rPr>
          <w:i/>
        </w:rPr>
        <w:t xml:space="preserve"> À explorer au maximum</w:t>
      </w:r>
    </w:p>
    <w:p>
      <w:pPr>
        <w:numPr>
          <w:ilvl w:val="1"/>
          <w:numId w:val="23"/>
        </w:numPr>
      </w:pPr>
      <w:r>
        <w:rPr/>
        <w:t>Diagnostic assez compliqué</w:t>
      </w:r>
    </w:p>
    <w:p>
      <w:pPr>
        <w:numPr>
          <w:ilvl w:val="1"/>
          <w:numId w:val="23"/>
        </w:numPr>
      </w:pPr>
      <w:r>
        <w:rPr/>
        <w:t xml:space="preserve">Besoins d'examens complémentaires compliqués </w:t>
      </w:r>
    </w:p>
    <w:p>
      <w:pPr>
        <w:pStyle w:val="Heading3"/>
      </w:pPr>
      <w:r>
        <w:rPr/>
        <w:t>Identifier les signes de gravité</w:t>
      </w:r>
    </w:p>
    <w:p>
      <w:pPr>
        <w:numPr>
          <w:ilvl w:val="1"/>
          <w:numId w:val="23"/>
        </w:numPr>
      </w:pPr>
      <w:r>
        <w:rPr>
          <w:b/>
        </w:rPr>
        <w:t>Terrain :</w:t>
      </w:r>
    </w:p>
    <w:p>
      <w:pPr>
        <w:numPr>
          <w:ilvl w:val="2"/>
          <w:numId w:val="23"/>
        </w:numPr>
      </w:pPr>
      <w:r>
        <w:rPr/>
        <w:t xml:space="preserve">Déficit immunitaire congénital ou acquis </w:t>
      </w:r>
      <w:r>
        <w:rPr/>
        <w:t>(</w:t>
      </w:r>
      <w:r>
        <w:rPr>
          <w:i/>
        </w:rPr>
        <w:t>drépa</w:t>
      </w:r>
      <w:r>
        <w:rPr>
          <w:i/>
        </w:rPr>
        <w:t xml:space="preserve"> : ischémie splénique à répétition : </w:t>
      </w:r>
      <w:r>
        <w:rPr>
          <w:i/>
        </w:rPr>
        <w:t>rate non fonctionnelle</w:t>
      </w:r>
      <w:r>
        <w:rPr>
          <w:i/>
        </w:rPr>
        <w:t xml:space="preserve"> : immunodéprimé) </w:t>
      </w:r>
    </w:p>
    <w:p>
      <w:pPr>
        <w:numPr>
          <w:ilvl w:val="2"/>
          <w:numId w:val="23"/>
        </w:numPr>
      </w:pPr>
      <w:r>
        <w:rPr/>
        <w:t xml:space="preserve">Pathologie chronique prédisposant aux surinfections (cardiopathies et endocardites : mucoviscidose et surinfections pulmonaires, etc.) </w:t>
      </w:r>
    </w:p>
    <w:p>
      <w:pPr>
        <w:numPr>
          <w:ilvl w:val="2"/>
          <w:numId w:val="23"/>
        </w:numPr>
      </w:pPr>
      <w:r>
        <w:rPr/>
        <w:t>Corticothérapie, traitement immunosuppresseur</w:t>
      </w:r>
    </w:p>
    <w:p>
      <w:pPr>
        <w:numPr>
          <w:ilvl w:val="1"/>
          <w:numId w:val="23"/>
        </w:numPr>
      </w:pPr>
      <w:r>
        <w:rPr>
          <w:b/>
        </w:rPr>
        <w:t>Signes associés</w:t>
      </w:r>
    </w:p>
    <w:p>
      <w:pPr>
        <w:numPr>
          <w:ilvl w:val="2"/>
          <w:numId w:val="23"/>
        </w:numPr>
      </w:pPr>
      <w:r>
        <w:rPr/>
        <w:t xml:space="preserve">Troubles hémodynamiques, troubles de la conscience </w:t>
      </w:r>
    </w:p>
    <w:p>
      <w:pPr>
        <w:numPr>
          <w:ilvl w:val="2"/>
          <w:numId w:val="23"/>
        </w:numPr>
      </w:pPr>
      <w:r>
        <w:rPr/>
        <w:t>Frissons</w:t>
      </w:r>
    </w:p>
    <w:p>
      <w:pPr>
        <w:numPr>
          <w:ilvl w:val="2"/>
          <w:numId w:val="23"/>
        </w:numPr>
      </w:pPr>
      <w:r>
        <w:rPr/>
        <w:t>Syndrome hémorragique (CIVD), amaigrissement</w:t>
      </w:r>
    </w:p>
    <w:p>
      <w:pPr>
        <w:pStyle w:val="Heading3"/>
      </w:pPr>
      <w:r>
        <w:rPr/>
        <w:t>Différentiels :</w:t>
      </w:r>
      <w:r>
        <w:rPr/>
        <w:t xml:space="preserve"> </w:t>
      </w:r>
    </w:p>
    <w:p>
      <w:pPr>
        <w:numPr>
          <w:ilvl w:val="1"/>
          <w:numId w:val="23"/>
        </w:numPr>
      </w:pPr>
      <w:r>
        <w:rPr>
          <w:b/>
        </w:rPr>
        <w:t>Fièvres à répétition :</w:t>
      </w:r>
    </w:p>
    <w:p>
      <w:pPr>
        <w:numPr>
          <w:ilvl w:val="2"/>
          <w:numId w:val="23"/>
        </w:numPr>
      </w:pPr>
      <w:r>
        <w:rPr/>
        <w:t>Infections virales</w:t>
      </w:r>
    </w:p>
    <w:p>
      <w:pPr>
        <w:numPr>
          <w:ilvl w:val="2"/>
          <w:numId w:val="23"/>
        </w:numPr>
      </w:pPr>
      <w:r>
        <w:rPr/>
        <w:t>Intervalle de plusieurs jours</w:t>
      </w:r>
    </w:p>
    <w:p>
      <w:pPr>
        <w:numPr>
          <w:ilvl w:val="1"/>
          <w:numId w:val="23"/>
        </w:numPr>
      </w:pPr>
      <w:r>
        <w:rPr>
          <w:b/>
        </w:rPr>
        <w:t>Thermopathomimie</w:t>
      </w:r>
    </w:p>
    <w:p>
      <w:pPr>
        <w:numPr>
          <w:ilvl w:val="2"/>
          <w:numId w:val="23"/>
        </w:numPr>
      </w:pPr>
      <w:r>
        <w:rPr/>
        <w:t xml:space="preserve">Fièvre simulée, enfant en bon état général </w:t>
      </w:r>
    </w:p>
    <w:p>
      <w:pPr>
        <w:numPr>
          <w:ilvl w:val="2"/>
          <w:numId w:val="23"/>
        </w:numPr>
      </w:pPr>
      <w:r>
        <w:rPr/>
        <w:t>Absence d'anomalie clinique ni syndrome inflammatoire</w:t>
      </w:r>
    </w:p>
    <w:p>
      <w:pPr>
        <w:numPr>
          <w:ilvl w:val="1"/>
          <w:numId w:val="23"/>
        </w:numPr>
      </w:pPr>
      <w:r>
        <w:rPr>
          <w:b/>
        </w:rPr>
        <w:t>Fièvres récurrentes :</w:t>
      </w:r>
    </w:p>
    <w:p>
      <w:pPr>
        <w:numPr>
          <w:ilvl w:val="2"/>
          <w:numId w:val="23"/>
        </w:numPr>
      </w:pPr>
      <w:r>
        <w:rPr/>
        <w:t>Durée habituelle supérieure à 3 jours</w:t>
      </w:r>
    </w:p>
    <w:p>
      <w:pPr>
        <w:numPr>
          <w:ilvl w:val="2"/>
          <w:numId w:val="23"/>
        </w:numPr>
      </w:pPr>
      <w:r>
        <w:rPr/>
        <w:t>Séparées par des périodes asymptomatiques d'apyrexie</w:t>
      </w:r>
    </w:p>
    <w:p>
      <w:pPr/>
    </w:p>
    <w:p>
      <w:pPr>
        <w:pStyle w:val="Heading2"/>
      </w:pPr>
      <w:r>
        <w:rPr/>
        <w:t>DÉMARCHE DIAGNOSTIQUE</w:t>
      </w:r>
    </w:p>
    <w:p>
      <w:pPr>
        <w:pStyle w:val="Heading3"/>
      </w:pPr>
      <w:r>
        <w:rPr/>
        <w:t>Interrogatoire</w:t>
      </w:r>
    </w:p>
    <w:p>
      <w:pPr>
        <w:pStyle w:val="Heading4"/>
      </w:pPr>
      <w:r>
        <w:rPr/>
        <w:t>Antécédents</w:t>
      </w:r>
    </w:p>
    <w:p>
      <w:pPr>
        <w:numPr>
          <w:ilvl w:val="2"/>
          <w:numId w:val="24"/>
        </w:numPr>
      </w:pPr>
      <w:r>
        <w:rPr/>
        <w:t>Antécédents médico-chirurgicaux</w:t>
      </w:r>
    </w:p>
    <w:p>
      <w:pPr>
        <w:numPr>
          <w:ilvl w:val="2"/>
          <w:numId w:val="24"/>
        </w:numPr>
      </w:pPr>
      <w:r>
        <w:rPr/>
        <w:t xml:space="preserve">Notion d'un voyage ou d'un séjour plus ou moins récent : à l'étranger (palustre et prophylaxie ou zone méditerranéenne) </w:t>
      </w:r>
    </w:p>
    <w:p>
      <w:pPr>
        <w:numPr>
          <w:ilvl w:val="2"/>
          <w:numId w:val="24"/>
        </w:numPr>
      </w:pPr>
      <w:r>
        <w:rPr/>
        <w:t xml:space="preserve">Contact avec un animal (griffes du </w:t>
      </w:r>
      <w:r>
        <w:rPr/>
        <w:t>chat ;</w:t>
      </w:r>
      <w:r>
        <w:rPr/>
        <w:t xml:space="preserve"> chien : leishmaniose ; leptospirose) ; rongeurs (tularémie) </w:t>
      </w:r>
    </w:p>
    <w:p>
      <w:pPr>
        <w:numPr>
          <w:ilvl w:val="2"/>
          <w:numId w:val="24"/>
        </w:numPr>
      </w:pPr>
      <w:r>
        <w:rPr/>
        <w:t xml:space="preserve">Promenades en forêt (endémie) : tiques (maladie de Lyme) </w:t>
      </w:r>
    </w:p>
    <w:p>
      <w:pPr>
        <w:numPr>
          <w:ilvl w:val="2"/>
          <w:numId w:val="24"/>
        </w:numPr>
      </w:pPr>
      <w:r>
        <w:rPr/>
        <w:t xml:space="preserve">Ingestion de certains aliments : fromages frais (brucellose)... </w:t>
      </w:r>
    </w:p>
    <w:p>
      <w:pPr>
        <w:pStyle w:val="Heading4"/>
      </w:pPr>
      <w:r>
        <w:rPr/>
        <w:t xml:space="preserve"> Contexte</w:t>
      </w:r>
    </w:p>
    <w:p>
      <w:pPr>
        <w:numPr>
          <w:ilvl w:val="2"/>
          <w:numId w:val="24"/>
        </w:numPr>
      </w:pPr>
      <w:r>
        <w:rPr/>
        <w:t>Caractéristiques de la fièvre : date de début ; signes éventuels accompagnateurs de ce début</w:t>
      </w:r>
    </w:p>
    <w:p>
      <w:pPr>
        <w:numPr>
          <w:ilvl w:val="2"/>
          <w:numId w:val="24"/>
        </w:numPr>
      </w:pPr>
      <w:r>
        <w:rPr/>
        <w:t xml:space="preserve">Ancienneté et type de la courbe thermique (en plateau ; intermittente ; grandes oscillations dans la journée) </w:t>
      </w:r>
    </w:p>
    <w:p>
      <w:pPr>
        <w:numPr>
          <w:ilvl w:val="2"/>
          <w:numId w:val="24"/>
        </w:numPr>
      </w:pPr>
      <w:r>
        <w:rPr/>
        <w:t xml:space="preserve">Signes d'accompagnement initiaux et actuels : frissons ; sueurs ; arthralgies ; céphalées ; éruptions ; troubles digestifs ; ORL </w:t>
      </w:r>
    </w:p>
    <w:p>
      <w:pPr>
        <w:numPr>
          <w:ilvl w:val="2"/>
          <w:numId w:val="24"/>
        </w:numPr>
      </w:pPr>
      <w:r>
        <w:rPr/>
        <w:t>Signes d'atteinte de l'état général : anorexie ; amaigrissement ; troubles du comportement</w:t>
      </w:r>
    </w:p>
    <w:p>
      <w:pPr>
        <w:numPr>
          <w:ilvl w:val="2"/>
          <w:numId w:val="24"/>
        </w:numPr>
      </w:pPr>
      <w:r>
        <w:rPr/>
        <w:t>Traitements antipyrétiques proposés et leur efficacité</w:t>
      </w:r>
    </w:p>
    <w:p>
      <w:pPr>
        <w:pStyle w:val="Heading3"/>
      </w:pPr>
      <w:r>
        <w:rPr/>
        <w:t>Examen clinique : examen du corps entier et de manière répétée</w:t>
      </w:r>
    </w:p>
    <w:p>
      <w:pPr>
        <w:numPr>
          <w:ilvl w:val="1"/>
          <w:numId w:val="24"/>
        </w:numPr>
      </w:pPr>
      <w:r>
        <w:rPr/>
        <w:t>Complet ; répétés</w:t>
      </w:r>
    </w:p>
    <w:p>
      <w:pPr>
        <w:numPr>
          <w:ilvl w:val="1"/>
          <w:numId w:val="24"/>
        </w:numPr>
      </w:pPr>
      <w:r>
        <w:rPr/>
        <w:t xml:space="preserve">Ne pas oublier : </w:t>
      </w:r>
    </w:p>
    <w:p>
      <w:pPr>
        <w:numPr>
          <w:ilvl w:val="2"/>
          <w:numId w:val="24"/>
        </w:numPr>
      </w:pPr>
      <w:r>
        <w:rPr/>
        <w:t>Tympans, yeux = FO</w:t>
      </w:r>
    </w:p>
    <w:p>
      <w:pPr>
        <w:numPr>
          <w:ilvl w:val="2"/>
          <w:numId w:val="24"/>
        </w:numPr>
      </w:pPr>
      <w:r>
        <w:rPr/>
        <w:t>OGE</w:t>
      </w:r>
    </w:p>
    <w:p>
      <w:pPr>
        <w:numPr>
          <w:ilvl w:val="2"/>
          <w:numId w:val="24"/>
        </w:numPr>
      </w:pPr>
      <w:r>
        <w:rPr/>
        <w:t>Anus = TR</w:t>
      </w:r>
    </w:p>
    <w:p>
      <w:pPr>
        <w:numPr>
          <w:ilvl w:val="1"/>
          <w:numId w:val="24"/>
        </w:numPr>
      </w:pPr>
      <w:r>
        <w:rPr/>
        <w:t>Insister sur l'examen de la peau</w:t>
      </w:r>
    </w:p>
    <w:p>
      <w:pPr>
        <w:numPr>
          <w:ilvl w:val="1"/>
          <w:numId w:val="24"/>
        </w:numPr>
      </w:pPr>
      <w:r>
        <w:rPr/>
        <w:t>Palper et percuter les os, muscles, articulations, aires ganglionnaires</w:t>
      </w:r>
    </w:p>
    <w:p>
      <w:pPr>
        <w:pStyle w:val="Heading3"/>
      </w:pPr>
      <w:r>
        <w:rPr/>
        <w:t xml:space="preserve">Examens </w:t>
      </w:r>
      <w:r>
        <w:rPr/>
        <w:t>paracliniques</w:t>
      </w:r>
    </w:p>
    <w:p>
      <w:pPr>
        <w:pStyle w:val="Heading4"/>
      </w:pPr>
      <w:r>
        <w:rPr>
          <w:b/>
        </w:rPr>
        <w:t>Première</w:t>
      </w:r>
      <w:r>
        <w:rPr>
          <w:b w:val="0"/>
        </w:rPr>
        <w:t xml:space="preserve"> </w:t>
      </w:r>
      <w:r>
        <w:rPr/>
        <w:t>intention</w:t>
      </w:r>
    </w:p>
    <w:p>
      <w:pPr>
        <w:numPr>
          <w:ilvl w:val="2"/>
          <w:numId w:val="24"/>
        </w:numPr>
      </w:pPr>
      <w:r>
        <w:rPr/>
        <w:t>NFS et plaquettes</w:t>
      </w:r>
    </w:p>
    <w:p>
      <w:pPr>
        <w:numPr>
          <w:ilvl w:val="2"/>
          <w:numId w:val="24"/>
        </w:numPr>
      </w:pPr>
      <w:r>
        <w:rPr/>
        <w:t>CRP et VS : syndrome inflammatoire biologique</w:t>
      </w:r>
    </w:p>
    <w:p>
      <w:pPr>
        <w:numPr>
          <w:ilvl w:val="2"/>
          <w:numId w:val="24"/>
        </w:numPr>
      </w:pPr>
      <w:r>
        <w:rPr/>
        <w:t xml:space="preserve">Transaminases hépatiques (ASAT, ALAT) </w:t>
      </w:r>
    </w:p>
    <w:p>
      <w:pPr>
        <w:numPr>
          <w:ilvl w:val="2"/>
          <w:numId w:val="24"/>
        </w:numPr>
      </w:pPr>
      <w:r>
        <w:rPr/>
        <w:t>ECBU</w:t>
      </w:r>
    </w:p>
    <w:p>
      <w:pPr>
        <w:numPr>
          <w:ilvl w:val="2"/>
          <w:numId w:val="24"/>
        </w:numPr>
      </w:pPr>
      <w:r>
        <w:rPr/>
        <w:t>Cliché thoracique</w:t>
      </w:r>
    </w:p>
    <w:p>
      <w:pPr>
        <w:numPr>
          <w:ilvl w:val="2"/>
          <w:numId w:val="24"/>
        </w:numPr>
      </w:pPr>
      <w:r>
        <w:rPr/>
        <w:t xml:space="preserve">IDR à la tuberculine et BK : tubages </w:t>
      </w:r>
    </w:p>
    <w:p>
      <w:pPr>
        <w:numPr>
          <w:ilvl w:val="2"/>
          <w:numId w:val="24"/>
        </w:numPr>
      </w:pPr>
      <w:r>
        <w:rPr/>
        <w:t>TDR palu, GE FM</w:t>
      </w:r>
    </w:p>
    <w:p>
      <w:pPr>
        <w:pStyle w:val="Heading4"/>
      </w:pPr>
      <w:r>
        <w:rPr/>
        <w:t>En deuxième intention</w:t>
      </w:r>
    </w:p>
    <w:p>
      <w:pPr>
        <w:numPr>
          <w:ilvl w:val="2"/>
          <w:numId w:val="24"/>
        </w:numPr>
      </w:pPr>
      <w:r>
        <w:rPr/>
        <w:t>Échographie ou scan abdomino-pelvien : adénopathies, abcès, tumeurs</w:t>
      </w:r>
    </w:p>
    <w:p>
      <w:pPr>
        <w:numPr>
          <w:ilvl w:val="2"/>
          <w:numId w:val="24"/>
        </w:numPr>
      </w:pPr>
      <w:r>
        <w:rPr/>
        <w:t xml:space="preserve">Radiographie du cavum, sinus ou </w:t>
      </w:r>
      <w:r>
        <w:rPr/>
        <w:t>paranomique</w:t>
      </w:r>
      <w:r>
        <w:rPr/>
        <w:t xml:space="preserve"> dentaire</w:t>
      </w:r>
    </w:p>
    <w:p>
      <w:pPr>
        <w:numPr>
          <w:ilvl w:val="2"/>
          <w:numId w:val="24"/>
        </w:numPr>
      </w:pPr>
      <w:r>
        <w:rPr/>
        <w:t xml:space="preserve">Sérologies spécifiques orientées : </w:t>
      </w:r>
      <w:r>
        <w:rPr>
          <w:i/>
        </w:rPr>
        <w:t>Bartonella</w:t>
      </w:r>
      <w:r>
        <w:rPr>
          <w:i/>
        </w:rPr>
        <w:t xml:space="preserve"> </w:t>
      </w:r>
      <w:r>
        <w:rPr>
          <w:i/>
        </w:rPr>
        <w:t>henselae</w:t>
      </w:r>
      <w:r>
        <w:rPr>
          <w:i/>
        </w:rPr>
        <w:t xml:space="preserve"> (maladie des griffes du chat) ; </w:t>
      </w:r>
      <w:r>
        <w:rPr/>
        <w:t xml:space="preserve">EBV ; Cytomégalovirus (CMV) ; sérologies des hépatites virales (A, B, C), sérologie de Widal (Typhoïde) ; Wright (brucellose) ; toxoplasmose ; </w:t>
      </w:r>
      <w:r>
        <w:rPr/>
        <w:t>Rickttsiose</w:t>
      </w:r>
      <w:r>
        <w:rPr/>
        <w:t xml:space="preserve"> ; Lyme et sérologie VIH</w:t>
      </w:r>
    </w:p>
    <w:p>
      <w:pPr>
        <w:numPr>
          <w:ilvl w:val="2"/>
          <w:numId w:val="24"/>
        </w:numPr>
      </w:pPr>
      <w:r>
        <w:rPr/>
        <w:t>Dans certains cas : anticorps antinucléaires et anti-tissus</w:t>
      </w:r>
    </w:p>
    <w:p>
      <w:pPr>
        <w:pStyle w:val="Heading4"/>
      </w:pPr>
      <w:r>
        <w:rPr/>
        <w:t xml:space="preserve">Autres, plus ciblés </w:t>
      </w:r>
    </w:p>
    <w:p>
      <w:pPr>
        <w:numPr>
          <w:ilvl w:val="2"/>
          <w:numId w:val="24"/>
        </w:numPr>
      </w:pPr>
      <w:r>
        <w:rPr/>
        <w:t>Myélogramme si anomalies de l'hémogramme</w:t>
      </w:r>
    </w:p>
    <w:p>
      <w:pPr>
        <w:numPr>
          <w:ilvl w:val="2"/>
          <w:numId w:val="24"/>
        </w:numPr>
      </w:pPr>
      <w:r>
        <w:rPr/>
        <w:t xml:space="preserve">Scintigraphie au Tc 99 M (localisation d'un foyer infectieux) </w:t>
      </w:r>
    </w:p>
    <w:p>
      <w:pPr>
        <w:numPr>
          <w:ilvl w:val="2"/>
          <w:numId w:val="24"/>
        </w:numPr>
      </w:pPr>
      <w:r>
        <w:rPr/>
        <w:t xml:space="preserve">Catécholamines urinaires (neuroblastome : </w:t>
      </w:r>
      <w:r>
        <w:rPr>
          <w:i/>
        </w:rPr>
        <w:t xml:space="preserve">tumeur de ganglion nerveux, peut se localiser là où il y a des </w:t>
      </w:r>
      <w:r>
        <w:rPr>
          <w:i/>
        </w:rPr>
        <w:t>gg</w:t>
      </w:r>
      <w:r>
        <w:rPr>
          <w:i/>
        </w:rPr>
        <w:t xml:space="preserve"> nerveux : moëlle, </w:t>
      </w:r>
      <w:r>
        <w:rPr>
          <w:i/>
        </w:rPr>
        <w:t>tête;</w:t>
      </w:r>
      <w:r>
        <w:rPr>
          <w:i/>
        </w:rPr>
        <w:t xml:space="preserve"> souvent on n'a pas la topographie de la lésion initiale) </w:t>
      </w:r>
    </w:p>
    <w:p>
      <w:pPr>
        <w:numPr>
          <w:ilvl w:val="2"/>
          <w:numId w:val="24"/>
        </w:numPr>
      </w:pPr>
      <w:r>
        <w:rPr/>
        <w:t xml:space="preserve">Ionogrammes et osmolarités sanguines et urinaires (diabète insipide) </w:t>
      </w:r>
    </w:p>
    <w:p>
      <w:pPr>
        <w:numPr>
          <w:ilvl w:val="2"/>
          <w:numId w:val="24"/>
        </w:numPr>
      </w:pPr>
      <w:r>
        <w:rPr/>
        <w:t xml:space="preserve">Échocardiographie (endocardite) </w:t>
      </w:r>
    </w:p>
    <w:p>
      <w:pPr>
        <w:numPr>
          <w:ilvl w:val="2"/>
          <w:numId w:val="24"/>
        </w:numPr>
      </w:pPr>
      <w:r>
        <w:rPr/>
        <w:t xml:space="preserve">Fond d’œil : examen à la lampe à fentes (uvéites) </w:t>
      </w:r>
    </w:p>
    <w:p>
      <w:pPr>
        <w:numPr>
          <w:ilvl w:val="2"/>
          <w:numId w:val="24"/>
        </w:numPr>
      </w:pPr>
      <w:r>
        <w:rPr/>
        <w:t xml:space="preserve">Biopsie ganglionnaire, hépatique ou salivaire </w:t>
      </w:r>
    </w:p>
    <w:p>
      <w:pPr>
        <w:numPr>
          <w:ilvl w:val="2"/>
          <w:numId w:val="24"/>
        </w:numPr>
      </w:pPr>
      <w:r>
        <w:rPr/>
        <w:t>Scan cérébral ou corps entier</w:t>
      </w:r>
    </w:p>
    <w:p>
      <w:pPr>
        <w:numPr>
          <w:ilvl w:val="2"/>
          <w:numId w:val="24"/>
        </w:numPr>
      </w:pPr>
      <w:r>
        <w:rPr/>
        <w:t>Opacification ou examens endoscopique de l'appareil digestif</w:t>
      </w:r>
    </w:p>
    <w:p>
      <w:pPr>
        <w:ind w:left="360"/>
      </w:pPr>
    </w:p>
    <w:p>
      <w:pPr>
        <w:pStyle w:val="Heading2"/>
      </w:pPr>
      <w:r>
        <w:rPr/>
        <w:t>ÉTIOLOGIES</w:t>
      </w:r>
    </w:p>
    <w:p>
      <w:pPr>
        <w:pStyle w:val="Heading3"/>
      </w:pPr>
      <w:r>
        <w:rPr/>
        <w:t>Non infectieuses : QE</w:t>
      </w:r>
      <w:r>
        <w:rPr/>
        <w:t xml:space="preserve"> </w:t>
      </w:r>
    </w:p>
    <w:p>
      <w:pPr>
        <w:pStyle w:val="Heading4"/>
      </w:pPr>
      <w:r>
        <w:rPr/>
        <w:t>M</w:t>
      </w:r>
      <w:r>
        <w:rPr/>
        <w:t>aladie de KAWASAKI (</w:t>
      </w:r>
      <w:r>
        <w:rPr/>
        <w:t>urgence</w:t>
      </w:r>
      <w:r>
        <w:rPr/>
        <w:t>)</w:t>
      </w:r>
      <w:r>
        <w:rPr>
          <w:i/>
        </w:rPr>
        <w:t>:</w:t>
      </w:r>
      <w:r>
        <w:rPr>
          <w:i/>
        </w:rPr>
        <w:t xml:space="preserve"> </w:t>
      </w:r>
      <w:r>
        <w:rPr/>
        <w:t xml:space="preserve">Classification American </w:t>
      </w:r>
      <w:r>
        <w:rPr/>
        <w:t>Heart</w:t>
      </w:r>
      <w:r>
        <w:rPr/>
        <w:t xml:space="preserve"> Association</w:t>
      </w:r>
    </w:p>
    <w:p>
      <w:pPr>
        <w:numPr>
          <w:ilvl w:val="2"/>
          <w:numId w:val="25"/>
        </w:numPr>
      </w:pPr>
      <w:r>
        <w:rPr/>
        <w:t>F</w:t>
      </w:r>
      <w:r>
        <w:rPr/>
      </w:r>
      <w:r>
        <w:rPr/>
        <w:t>ièvre &gt;5 jours et quatre des critères suivants</w:t>
      </w:r>
    </w:p>
    <w:p>
      <w:pPr>
        <w:numPr>
          <w:ilvl w:val="3"/>
          <w:numId w:val="25"/>
        </w:numPr>
      </w:pPr>
      <w:r>
        <w:rPr/>
        <w:t>Hyperhémie conjonctivale sans écoulement purulent</w:t>
      </w:r>
    </w:p>
    <w:p>
      <w:pPr>
        <w:numPr>
          <w:ilvl w:val="3"/>
          <w:numId w:val="25"/>
        </w:numPr>
      </w:pPr>
      <w:r>
        <w:rPr/>
        <w:t>Atteinte muqueuse : rougeur de l'oropharynx, langue framboisée, chéilite : les lèvres sont fissurées, intumescentes et sèches</w:t>
      </w:r>
    </w:p>
    <w:p>
      <w:pPr>
        <w:numPr>
          <w:ilvl w:val="3"/>
          <w:numId w:val="25"/>
        </w:numPr>
      </w:pPr>
      <w:r>
        <w:rPr/>
        <w:t>Oedèmes</w:t>
      </w:r>
      <w:r>
        <w:rPr/>
        <w:t xml:space="preserve"> érythémateux des extrémités</w:t>
      </w:r>
    </w:p>
    <w:p>
      <w:pPr>
        <w:numPr>
          <w:ilvl w:val="3"/>
          <w:numId w:val="25"/>
        </w:numPr>
      </w:pPr>
      <w:r>
        <w:rPr/>
        <w:t>Eruption de caractère polymorphe</w:t>
      </w:r>
    </w:p>
    <w:p>
      <w:pPr>
        <w:numPr>
          <w:ilvl w:val="3"/>
          <w:numId w:val="25"/>
        </w:numPr>
      </w:pPr>
      <w:r>
        <w:rPr/>
        <w:t>Adénopathies cervicales non purulentes &gt;1,5cm de diamètre</w:t>
      </w:r>
    </w:p>
    <w:p>
      <w:pPr>
        <w:numPr>
          <w:ilvl w:val="3"/>
          <w:numId w:val="25"/>
        </w:numPr>
      </w:pPr>
      <w:r>
        <w:rPr/>
        <w:t>Fièvre&gt; 5jours : essentielle pour le diagnostic</w:t>
      </w:r>
    </w:p>
    <w:p>
      <w:pPr>
        <w:numPr>
          <w:ilvl w:val="2"/>
          <w:numId w:val="25"/>
        </w:numPr>
      </w:pPr>
      <w:r>
        <w:rPr>
          <w:b/>
          <w:color w:val="FF0000"/>
        </w:rPr>
        <w:t xml:space="preserve">Risque à tout moment, même à l'âge adulte : atteinte coronarienne. </w:t>
      </w:r>
    </w:p>
    <w:p>
      <w:pPr>
        <w:numPr>
          <w:ilvl w:val="2"/>
          <w:numId w:val="25"/>
        </w:numPr>
      </w:pPr>
      <w:r>
        <w:rPr/>
        <w:t>-&gt; Suivi cardiaque tout au long de sa vie car risque toujours présent de faire un IDM même à l'âge adulte</w:t>
      </w:r>
      <w:r>
        <w:rPr/>
        <w:br/>
      </w:r>
    </w:p>
    <w:p>
      <w:pPr>
        <w:pStyle w:val="Heading4"/>
      </w:pPr>
      <w:r>
        <w:rPr/>
        <w:t>Maladies inflammatoires chroniques</w:t>
      </w:r>
    </w:p>
    <w:p>
      <w:pPr>
        <w:numPr>
          <w:ilvl w:val="2"/>
          <w:numId w:val="25"/>
        </w:numPr>
      </w:pPr>
      <w:r>
        <w:rPr/>
        <w:t>Arthrite juvénile, Lupus, périartérite noueuse</w:t>
      </w:r>
    </w:p>
    <w:p>
      <w:pPr>
        <w:numPr>
          <w:ilvl w:val="2"/>
          <w:numId w:val="25"/>
        </w:numPr>
      </w:pPr>
      <w:r>
        <w:rPr/>
        <w:t xml:space="preserve">Maladie de </w:t>
      </w:r>
      <w:r>
        <w:rPr/>
        <w:t>Crohn</w:t>
      </w:r>
      <w:r>
        <w:rPr/>
        <w:t xml:space="preserve">, colite </w:t>
      </w:r>
      <w:r>
        <w:rPr/>
        <w:t>ulcéro</w:t>
      </w:r>
      <w:r>
        <w:rPr/>
        <w:t>-hémorragique</w:t>
      </w:r>
      <w:r>
        <w:rPr/>
        <w:br/>
      </w:r>
    </w:p>
    <w:p>
      <w:pPr>
        <w:pStyle w:val="Heading4"/>
      </w:pPr>
      <w:r>
        <w:rPr/>
        <w:t>Néoplasies : leucémies, neuroblastomes, HODGKIN</w:t>
      </w:r>
      <w:r>
        <w:rPr/>
        <w:br/>
      </w:r>
    </w:p>
    <w:p>
      <w:pPr>
        <w:pStyle w:val="Heading4"/>
      </w:pPr>
      <w:r>
        <w:rPr/>
        <w:t>Autres</w:t>
      </w:r>
      <w:r>
        <w:rPr/>
        <w:t xml:space="preserve"> </w:t>
      </w:r>
      <w:r>
        <w:rPr/>
        <w:t xml:space="preserve">: fièvres médicamenteuse, fièvre périodique, maladie </w:t>
      </w:r>
      <w:r>
        <w:rPr/>
        <w:t>sérique,</w:t>
      </w:r>
      <w:r>
        <w:rPr/>
        <w:t xml:space="preserve"> …</w:t>
      </w:r>
      <w:r>
        <w:rPr/>
        <w:t xml:space="preserve"> </w:t>
      </w:r>
    </w:p>
    <w:p>
      <w:pPr>
        <w:numPr>
          <w:ilvl w:val="2"/>
          <w:numId w:val="25"/>
        </w:numPr>
      </w:pPr>
      <w:r>
        <w:rPr>
          <w:b/>
        </w:rPr>
        <w:t>Principaux médicaments susceptibles d</w:t>
      </w:r>
      <w:r>
        <w:rPr>
          <w:b/>
        </w:rPr>
        <w:t>’</w:t>
      </w:r>
      <w:r>
        <w:rPr>
          <w:b/>
        </w:rPr>
        <w:t>entraîner un syndrome inflammatoire prolongé</w:t>
      </w:r>
    </w:p>
    <w:tbl>
      <w:tblPr>
        <w:tblStyle w:val="MediumGrid3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61"/>
          </w:tcPr>
          <w:p/>
          <w:p>
            <w:pPr/>
            <w:r>
              <w:rPr/>
              <w:t>Fréquent</w:t>
            </w:r>
          </w:p>
        </w:tc>
        <w:tc>
          <w:tcPr>
            <w:tcW w:type="dxa" w:w="3361"/>
          </w:tcPr>
          <w:p/>
          <w:p>
            <w:pPr/>
            <w:r>
              <w:rPr/>
              <w:t>Plus rarement</w:t>
            </w:r>
          </w:p>
        </w:tc>
      </w:tr>
      <w:tr>
        <w:tc>
          <w:tcPr>
            <w:tcW w:type="dxa" w:w="3361"/>
          </w:tcPr>
          <w:p/>
          <w:p>
            <w:pPr>
              <w:numPr>
                <w:ilvl w:val="0"/>
                <w:numId w:val="26"/>
              </w:numPr>
            </w:pPr>
            <w:r>
              <w:rPr/>
              <w:t>Antihistaminiques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Barbituriques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Beta-lactamines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Phénytoïne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 xml:space="preserve">Quinidine (sulfate) 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Sulfamides</w:t>
            </w:r>
          </w:p>
        </w:tc>
        <w:tc>
          <w:tcPr>
            <w:tcW w:type="dxa" w:w="3361"/>
          </w:tcPr>
          <w:p/>
          <w:p>
            <w:pPr>
              <w:numPr>
                <w:ilvl w:val="0"/>
                <w:numId w:val="26"/>
              </w:numPr>
            </w:pPr>
            <w:r>
              <w:rPr/>
              <w:t>Allopurinol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Azathioprine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Cimétidine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Isoniazide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Rifampicine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>Vancomycine</w:t>
            </w:r>
          </w:p>
        </w:tc>
      </w:tr>
    </w:tbl>
    <w:p>
      <w:pPr>
        <w:ind w:left="720"/>
      </w:pPr>
    </w:p>
    <w:p>
      <w:pPr>
        <w:ind w:left="720"/>
      </w:pPr>
    </w:p>
    <w:p>
      <w:pPr>
        <w:pStyle w:val="Heading3"/>
      </w:pPr>
      <w:r>
        <w:rPr/>
        <w:t>INFECTIEUSES</w:t>
      </w:r>
    </w:p>
    <w:p>
      <w:pPr>
        <w:pStyle w:val="Heading4"/>
      </w:pPr>
      <w:r>
        <w:rPr/>
        <w:t>BACTÉRIES :</w:t>
      </w:r>
    </w:p>
    <w:p>
      <w:pPr>
        <w:numPr>
          <w:ilvl w:val="2"/>
          <w:numId w:val="25"/>
        </w:numPr>
      </w:pPr>
      <w:r>
        <w:rPr/>
        <w:t>Tuberculose, brucelloses, salmonelloses, endocardite</w:t>
      </w:r>
    </w:p>
    <w:p>
      <w:pPr>
        <w:numPr>
          <w:ilvl w:val="2"/>
          <w:numId w:val="25"/>
        </w:numPr>
      </w:pPr>
      <w:r>
        <w:rPr/>
        <w:t>Griffes du chat, Lyme, leptospirose, tularémies</w:t>
      </w:r>
    </w:p>
    <w:p>
      <w:pPr>
        <w:numPr>
          <w:ilvl w:val="2"/>
          <w:numId w:val="25"/>
        </w:numPr>
      </w:pPr>
      <w:r>
        <w:rPr/>
        <w:t>Ostéomyélite, pyélonéphrite, abcès hépatique</w:t>
      </w:r>
      <w:r>
        <w:rPr/>
        <w:br/>
      </w:r>
    </w:p>
    <w:p>
      <w:pPr>
        <w:pStyle w:val="Heading4"/>
      </w:pPr>
      <w:r>
        <w:rPr/>
        <w:t>VIRUS :</w:t>
      </w:r>
    </w:p>
    <w:p>
      <w:pPr>
        <w:numPr>
          <w:ilvl w:val="2"/>
          <w:numId w:val="25"/>
        </w:numPr>
      </w:pPr>
      <w:r>
        <w:rPr/>
        <w:t xml:space="preserve">Dengue, </w:t>
      </w:r>
      <w:r>
        <w:rPr/>
        <w:t>chikungunia</w:t>
      </w:r>
      <w:r>
        <w:rPr/>
        <w:t>, EBV (</w:t>
      </w:r>
      <w:r>
        <w:rPr/>
        <w:t>MNI)</w:t>
      </w:r>
      <w:r>
        <w:rPr/>
        <w:t xml:space="preserve">, hépatite B, C, CMV, </w:t>
      </w:r>
      <w:r>
        <w:rPr/>
        <w:t>parvovirus</w:t>
      </w:r>
      <w:r>
        <w:rPr/>
        <w:t xml:space="preserve"> B</w:t>
      </w:r>
      <w:r>
        <w:rPr/>
        <w:br/>
      </w:r>
    </w:p>
    <w:p>
      <w:pPr>
        <w:pStyle w:val="Heading4"/>
      </w:pPr>
      <w:r>
        <w:rPr/>
        <w:t>PARASITES :</w:t>
      </w:r>
    </w:p>
    <w:p>
      <w:pPr>
        <w:numPr>
          <w:ilvl w:val="2"/>
          <w:numId w:val="25"/>
        </w:numPr>
      </w:pPr>
      <w:r>
        <w:rPr/>
        <w:t>Paludisme, toxoplasmose, Leishmaniose</w:t>
      </w:r>
      <w:r>
        <w:rPr/>
        <w:br/>
      </w:r>
    </w:p>
    <w:p>
      <w:pPr>
        <w:pStyle w:val="Heading4"/>
      </w:pPr>
      <w:r>
        <w:rPr/>
        <w:t xml:space="preserve">INCONNUE : </w:t>
      </w:r>
      <w:r>
        <w:rPr/>
        <w:t>fièvres prolongées sans diagnostic</w:t>
      </w:r>
    </w:p>
    <w:p>
      <w:pPr>
        <w:numPr>
          <w:ilvl w:val="2"/>
          <w:numId w:val="25"/>
        </w:numPr>
      </w:pPr>
      <w:r>
        <w:rPr/>
        <w:t>Cela existe et il faut l'annoncer</w:t>
      </w:r>
    </w:p>
    <w:p>
      <w:pPr>
        <w:numPr>
          <w:ilvl w:val="2"/>
          <w:numId w:val="25"/>
        </w:numPr>
      </w:pPr>
      <w:r>
        <w:rPr/>
        <w:t>Fièvre prolongée bénigne du petit enfant</w:t>
      </w:r>
    </w:p>
    <w:p>
      <w:pPr>
        <w:numPr>
          <w:ilvl w:val="2"/>
          <w:numId w:val="25"/>
        </w:numPr>
      </w:pPr>
      <w:r>
        <w:rPr/>
        <w:t xml:space="preserve">Réexaminer régulièrement : nouveau signe ? </w:t>
      </w:r>
    </w:p>
    <w:p>
      <w:pPr>
        <w:numPr>
          <w:ilvl w:val="2"/>
          <w:numId w:val="25"/>
        </w:numPr>
      </w:pPr>
      <w:r>
        <w:rPr/>
        <w:t>Un guide essentiel : l'EG</w:t>
      </w:r>
    </w:p>
    <w:p>
      <w:pPr>
        <w:numPr>
          <w:ilvl w:val="2"/>
          <w:numId w:val="25"/>
        </w:numPr>
      </w:pPr>
      <w:r>
        <w:rPr/>
        <w:t>Cas particulier : mode de début d'une fièvre récurrente</w:t>
      </w:r>
    </w:p>
    <w:p>
      <w:pPr>
        <w:ind w:left="360"/>
      </w:pPr>
    </w:p>
    <w:p>
      <w:pPr>
        <w:pStyle w:val="Heading2"/>
      </w:pPr>
      <w:r>
        <w:rPr/>
        <w:t>CONCLUSION</w:t>
      </w:r>
    </w:p>
    <w:p>
      <w:pPr>
        <w:numPr>
          <w:ilvl w:val="0"/>
          <w:numId w:val="27"/>
        </w:numPr>
      </w:pPr>
      <w:r>
        <w:rPr/>
        <w:t>Importance de l'interrogatoire</w:t>
      </w:r>
    </w:p>
    <w:p>
      <w:pPr>
        <w:numPr>
          <w:ilvl w:val="0"/>
          <w:numId w:val="27"/>
        </w:numPr>
      </w:pPr>
      <w:r>
        <w:rPr/>
        <w:t>Examens cliniques répétés</w:t>
      </w:r>
    </w:p>
    <w:p>
      <w:pPr>
        <w:numPr>
          <w:ilvl w:val="0"/>
          <w:numId w:val="27"/>
        </w:numPr>
      </w:pPr>
      <w:r>
        <w:rPr/>
        <w:t>Examens paracliniques orientés</w:t>
      </w:r>
    </w:p>
    <w:p>
      <w:pPr>
        <w:numPr>
          <w:ilvl w:val="0"/>
          <w:numId w:val="27"/>
        </w:numPr>
      </w:pPr>
      <w:r>
        <w:rPr/>
        <w:t>25% restent sans diagnostic</w:t>
      </w:r>
    </w:p>
    <w:p>
      <w:pPr/>
    </w:p>
    <w:p>
      <w:pPr/>
      <w:r>
        <w:rPr>
          <w:color w:val="FF0000"/>
        </w:rPr>
        <w:br/>
      </w:r>
    </w:p>
    <w:p>
      <w:pPr>
        <w:spacing w:after="200"/>
      </w:pPr>
      <w:r>
        <w:rPr>
          <w:color w:val="FF000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