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HEMORRAGIES NEONATALES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93"/>
        </w:numPr>
      </w:pPr>
      <w:r>
        <w:rPr/>
        <w:t>Prévenir la maladie hémorragique de nouveau-né (MHNN)</w:t>
      </w:r>
    </w:p>
    <w:p>
      <w:pPr>
        <w:numPr>
          <w:ilvl w:val="0"/>
          <w:numId w:val="93"/>
        </w:numPr>
      </w:pPr>
      <w:r>
        <w:rPr/>
        <w:t>Reconnaître une hémorragie néonatale</w:t>
      </w:r>
    </w:p>
    <w:p>
      <w:pPr>
        <w:numPr>
          <w:ilvl w:val="0"/>
          <w:numId w:val="93"/>
        </w:numPr>
      </w:pPr>
      <w:r>
        <w:rPr/>
        <w:t>Rechercher les causes des hémorragies néonatales</w:t>
      </w:r>
    </w:p>
    <w:p>
      <w:pPr>
        <w:numPr>
          <w:ilvl w:val="0"/>
          <w:numId w:val="93"/>
        </w:numPr>
      </w:pPr>
      <w:r>
        <w:rPr/>
        <w:t>Traiter un MHNN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94"/>
        </w:numPr>
      </w:pPr>
      <w:r>
        <w:rPr/>
        <w:t>Intérêts :</w:t>
      </w:r>
    </w:p>
    <w:p>
      <w:pPr>
        <w:numPr>
          <w:ilvl w:val="1"/>
          <w:numId w:val="94"/>
        </w:numPr>
      </w:pPr>
      <w:r>
        <w:rPr/>
        <w:t xml:space="preserve">Accident relativement fréquent </w:t>
      </w:r>
      <w:r>
        <w:rPr>
          <w:i/>
        </w:rPr>
        <w:t>pouvant être prévenu</w:t>
      </w:r>
    </w:p>
    <w:p>
      <w:pPr>
        <w:numPr>
          <w:ilvl w:val="1"/>
          <w:numId w:val="94"/>
        </w:numPr>
      </w:pPr>
      <w:r>
        <w:rPr/>
        <w:t>Les formes de gravité sont variables</w:t>
      </w:r>
    </w:p>
    <w:p>
      <w:pPr/>
    </w:p>
    <w:p>
      <w:pPr>
        <w:pStyle w:val="Heading2"/>
        <w:numPr>
          <w:ilvl w:val="0"/>
          <w:numId w:val="158"/>
        </w:numPr>
      </w:pPr>
      <w:r>
        <w:rPr/>
        <w:t>MANIFESTATIONS CLINIQUES</w:t>
      </w:r>
    </w:p>
    <w:p>
      <w:pPr>
        <w:pStyle w:val="Heading3"/>
      </w:pPr>
      <w:r>
        <w:rPr/>
        <w:t>Mineures :</w:t>
      </w:r>
      <w:r>
        <w:rPr/>
        <w:t xml:space="preserve"> </w:t>
      </w:r>
    </w:p>
    <w:p>
      <w:pPr/>
      <w:r>
        <w:rPr/>
        <w:t>L</w:t>
      </w:r>
      <w:r>
        <w:rPr/>
        <w:t>iés aux circonstances de l’accouchement (</w:t>
      </w:r>
      <w:r>
        <w:rPr>
          <w:i/>
        </w:rPr>
        <w:t>accouchement dystocique)</w:t>
      </w:r>
    </w:p>
    <w:p>
      <w:pPr>
        <w:numPr>
          <w:ilvl w:val="1"/>
          <w:numId w:val="95"/>
        </w:numPr>
      </w:pPr>
      <w:r>
        <w:rPr/>
        <w:t>Bosse séro-sanguine</w:t>
      </w:r>
    </w:p>
    <w:p>
      <w:pPr>
        <w:numPr>
          <w:ilvl w:val="1"/>
          <w:numId w:val="95"/>
        </w:numPr>
      </w:pPr>
      <w:r>
        <w:rPr/>
        <w:t>Céphalhématome</w:t>
      </w:r>
    </w:p>
    <w:p>
      <w:pPr>
        <w:numPr>
          <w:ilvl w:val="1"/>
          <w:numId w:val="95"/>
        </w:numPr>
      </w:pPr>
      <w:r>
        <w:rPr/>
        <w:t>Hémorragie sous-conjonctivale</w:t>
      </w:r>
    </w:p>
    <w:p>
      <w:pPr>
        <w:numPr>
          <w:ilvl w:val="1"/>
          <w:numId w:val="95"/>
        </w:numPr>
      </w:pPr>
      <w:r>
        <w:rPr/>
        <w:t>Ecchymose ou pétéchies limitées à la face</w:t>
      </w:r>
      <w:r>
        <w:rPr/>
        <w:br/>
      </w:r>
    </w:p>
    <w:p>
      <w:pPr>
        <w:pStyle w:val="Heading3"/>
      </w:pPr>
      <w:r>
        <w:rPr/>
        <w:t>Majeures :</w:t>
      </w:r>
    </w:p>
    <w:p>
      <w:pPr>
        <w:numPr>
          <w:ilvl w:val="1"/>
          <w:numId w:val="95"/>
        </w:numPr>
      </w:pPr>
      <w:r>
        <w:rPr>
          <w:b/>
        </w:rPr>
        <w:t>Hémorragie cutanéo-muqueuse</w:t>
      </w:r>
    </w:p>
    <w:p>
      <w:pPr>
        <w:numPr>
          <w:ilvl w:val="2"/>
          <w:numId w:val="95"/>
        </w:numPr>
      </w:pPr>
      <w:r>
        <w:rPr/>
        <w:t xml:space="preserve">Purpura généralisé </w:t>
      </w:r>
    </w:p>
    <w:p>
      <w:pPr>
        <w:numPr>
          <w:ilvl w:val="2"/>
          <w:numId w:val="95"/>
        </w:numPr>
      </w:pPr>
      <w:r>
        <w:rPr/>
        <w:t xml:space="preserve">Hémorragie </w:t>
      </w:r>
      <w:r>
        <w:rPr/>
        <w:t>bucco-pharyngée</w:t>
      </w:r>
    </w:p>
    <w:p>
      <w:pPr>
        <w:numPr>
          <w:ilvl w:val="2"/>
          <w:numId w:val="95"/>
        </w:numPr>
      </w:pPr>
      <w:r>
        <w:rPr/>
        <w:t>Epistaxis</w:t>
      </w:r>
    </w:p>
    <w:p>
      <w:pPr>
        <w:numPr>
          <w:ilvl w:val="2"/>
          <w:numId w:val="95"/>
        </w:numPr>
      </w:pPr>
      <w:r>
        <w:rPr/>
        <w:t>Hémorragie ombilicale +++ (</w:t>
      </w:r>
      <w:r>
        <w:rPr>
          <w:i/>
        </w:rPr>
        <w:t>n’arrête pas de saigner à la section)</w:t>
      </w:r>
      <w:r>
        <w:rPr>
          <w:i/>
        </w:rPr>
        <w:br/>
      </w:r>
    </w:p>
    <w:p>
      <w:pPr>
        <w:numPr>
          <w:ilvl w:val="1"/>
          <w:numId w:val="95"/>
        </w:numPr>
      </w:pPr>
      <w:r>
        <w:rPr>
          <w:b/>
        </w:rPr>
        <w:t>Hémorragie viscérale</w:t>
      </w:r>
    </w:p>
    <w:p>
      <w:pPr>
        <w:numPr>
          <w:ilvl w:val="2"/>
          <w:numId w:val="95"/>
        </w:numPr>
      </w:pPr>
      <w:r>
        <w:rPr/>
        <w:t>Hématémèse</w:t>
      </w:r>
    </w:p>
    <w:p>
      <w:pPr>
        <w:numPr>
          <w:ilvl w:val="2"/>
          <w:numId w:val="95"/>
        </w:numPr>
      </w:pPr>
      <w:r>
        <w:rPr/>
        <w:t xml:space="preserve">Rectorragie, </w:t>
      </w:r>
      <w:r>
        <w:rPr/>
        <w:t xml:space="preserve">méléna </w:t>
      </w:r>
      <w:r>
        <w:rPr/>
        <w:t>(</w:t>
      </w:r>
      <w:r>
        <w:rPr>
          <w:i/>
        </w:rPr>
        <w:t>attention : à différencier du méconium)</w:t>
      </w:r>
    </w:p>
    <w:p>
      <w:pPr>
        <w:numPr>
          <w:ilvl w:val="2"/>
          <w:numId w:val="95"/>
        </w:numPr>
      </w:pPr>
      <w:r>
        <w:rPr/>
        <w:t>Hémoptysie</w:t>
      </w:r>
    </w:p>
    <w:p>
      <w:pPr>
        <w:numPr>
          <w:ilvl w:val="2"/>
          <w:numId w:val="95"/>
        </w:numPr>
      </w:pPr>
      <w:r>
        <w:rPr/>
        <w:t>Hématurie, saignement vulvaire</w:t>
      </w:r>
    </w:p>
    <w:p>
      <w:pPr>
        <w:numPr>
          <w:ilvl w:val="2"/>
          <w:numId w:val="95"/>
        </w:numPr>
      </w:pPr>
      <w:r>
        <w:rPr/>
        <w:t xml:space="preserve">Hémorragie </w:t>
      </w:r>
      <w:r>
        <w:rPr/>
        <w:t>cérébro</w:t>
      </w:r>
      <w:r>
        <w:rPr/>
        <w:t>-méningée</w:t>
      </w:r>
    </w:p>
    <w:p>
      <w:pPr/>
    </w:p>
    <w:p>
      <w:pPr>
        <w:pStyle w:val="Heading2"/>
        <w:numPr>
          <w:ilvl w:val="0"/>
          <w:numId w:val="158"/>
        </w:numPr>
      </w:pPr>
      <w:r>
        <w:rPr/>
        <w:t>CAUSES</w:t>
      </w:r>
    </w:p>
    <w:p>
      <w:pPr>
        <w:pStyle w:val="Heading3"/>
        <w:numPr>
          <w:ilvl w:val="0"/>
          <w:numId w:val="159"/>
        </w:numPr>
      </w:pPr>
      <w:r>
        <w:rPr/>
        <w:t>Maladie hémorragique du nouveau-né</w:t>
      </w:r>
    </w:p>
    <w:p>
      <w:pPr>
        <w:numPr>
          <w:ilvl w:val="1"/>
          <w:numId w:val="96"/>
        </w:numPr>
      </w:pPr>
      <w:r>
        <w:rPr/>
        <w:t>Dûe</w:t>
      </w:r>
      <w:r>
        <w:rPr/>
        <w:t xml:space="preserve"> à une </w:t>
      </w:r>
      <w:r>
        <w:rPr>
          <w:b/>
        </w:rPr>
        <w:t>immaturité hépatocytaire</w:t>
      </w:r>
      <w:r>
        <w:rPr/>
        <w:t xml:space="preserve"> (déficit en vitamine K1)</w:t>
      </w:r>
    </w:p>
    <w:p>
      <w:pPr>
        <w:numPr>
          <w:ilvl w:val="1"/>
          <w:numId w:val="96"/>
        </w:numPr>
      </w:pPr>
      <w:r>
        <w:rPr/>
        <w:t>Signes</w:t>
      </w:r>
    </w:p>
    <w:p>
      <w:pPr>
        <w:numPr>
          <w:ilvl w:val="2"/>
          <w:numId w:val="96"/>
        </w:numPr>
      </w:pPr>
      <w:r>
        <w:rPr/>
        <w:t>Hémorragies digestives et cutanées (J2-J3 de vie)</w:t>
      </w:r>
    </w:p>
    <w:p>
      <w:pPr>
        <w:numPr>
          <w:ilvl w:val="1"/>
          <w:numId w:val="96"/>
        </w:numPr>
      </w:pPr>
      <w:r>
        <w:rPr/>
        <w:t>Diagnostic</w:t>
      </w:r>
    </w:p>
    <w:p>
      <w:pPr>
        <w:numPr>
          <w:ilvl w:val="2"/>
          <w:numId w:val="96"/>
        </w:numPr>
      </w:pPr>
      <w:r>
        <w:rPr/>
        <w:t>TP &lt; 20%</w:t>
      </w:r>
    </w:p>
    <w:p>
      <w:pPr>
        <w:numPr>
          <w:ilvl w:val="2"/>
          <w:numId w:val="96"/>
        </w:numPr>
      </w:pPr>
      <w:r>
        <w:rPr>
          <w:b/>
        </w:rPr>
        <w:t xml:space="preserve">Facteurs de coagulation </w:t>
      </w:r>
      <w:r>
        <w:rPr>
          <w:b/>
        </w:rPr>
        <w:t>vitamino</w:t>
      </w:r>
      <w:r>
        <w:rPr>
          <w:b/>
        </w:rPr>
        <w:t>-K-dépendants BAS (II, VII, IX, X)</w:t>
      </w:r>
    </w:p>
    <w:p>
      <w:pPr>
        <w:numPr>
          <w:ilvl w:val="2"/>
          <w:numId w:val="96"/>
        </w:numPr>
      </w:pPr>
      <w:r>
        <w:rPr>
          <w:b/>
        </w:rPr>
        <w:t>Facteur V : normal</w:t>
      </w:r>
    </w:p>
    <w:p>
      <w:pPr>
        <w:numPr>
          <w:ilvl w:val="1"/>
          <w:numId w:val="96"/>
        </w:numPr>
      </w:pPr>
      <w:r>
        <w:rPr>
          <w:b/>
        </w:rPr>
        <w:t>Traitement prophylactique :</w:t>
      </w:r>
    </w:p>
    <w:p>
      <w:pPr>
        <w:numPr>
          <w:ilvl w:val="2"/>
          <w:numId w:val="96"/>
        </w:numPr>
      </w:pPr>
      <w:r>
        <w:rPr/>
        <w:t>Vitamine K1 : 1mg (IM) ou 2mg (orale) à la naissance</w:t>
      </w:r>
    </w:p>
    <w:p>
      <w:pPr>
        <w:numPr>
          <w:ilvl w:val="3"/>
          <w:numId w:val="96"/>
        </w:numPr>
      </w:pPr>
      <w:r>
        <w:rPr/>
        <w:t>Puis 2 mg per os à J4 (J3-J7) et à 1 mois (J28)</w:t>
      </w:r>
    </w:p>
    <w:p>
      <w:pPr>
        <w:numPr>
          <w:ilvl w:val="1"/>
          <w:numId w:val="96"/>
        </w:numPr>
      </w:pPr>
      <w:r>
        <w:rPr>
          <w:b/>
        </w:rPr>
        <w:t>Traitement curatif immédiat :  PPSB</w:t>
      </w:r>
    </w:p>
    <w:p>
      <w:pPr>
        <w:numPr>
          <w:ilvl w:val="2"/>
          <w:numId w:val="96"/>
        </w:numPr>
      </w:pPr>
      <w:r>
        <w:rPr>
          <w:b/>
        </w:rPr>
        <w:t>Prothrombine II</w:t>
      </w:r>
    </w:p>
    <w:p>
      <w:pPr>
        <w:numPr>
          <w:ilvl w:val="2"/>
          <w:numId w:val="96"/>
        </w:numPr>
      </w:pPr>
      <w:r>
        <w:rPr>
          <w:b/>
        </w:rPr>
      </w:r>
      <w:r>
        <w:rPr>
          <w:b/>
        </w:rPr>
        <w:t>Proconvertine VII</w:t>
      </w:r>
    </w:p>
    <w:p>
      <w:pPr>
        <w:numPr>
          <w:ilvl w:val="2"/>
          <w:numId w:val="96"/>
        </w:numPr>
      </w:pPr>
      <w:r>
        <w:rPr>
          <w:b/>
        </w:rPr>
        <w:t>S (facteur Stuart) X</w:t>
      </w:r>
    </w:p>
    <w:p>
      <w:pPr>
        <w:numPr>
          <w:ilvl w:val="2"/>
          <w:numId w:val="96"/>
        </w:numPr>
      </w:pPr>
      <w:r>
        <w:rPr>
          <w:b/>
        </w:rPr>
        <w:t xml:space="preserve">B (facteur anti-hémophilique B) IX </w:t>
      </w:r>
    </w:p>
    <w:p>
      <w:pPr>
        <w:numPr>
          <w:ilvl w:val="1"/>
          <w:numId w:val="96"/>
        </w:numPr>
      </w:pPr>
      <w:r>
        <w:rPr>
          <w:b/>
        </w:rPr>
        <w:t>Puis, vitamine K1 : 1 ampoule tous les 3-4 jours jusqu’à arrêt de l’hémorragie</w:t>
      </w:r>
      <w:r>
        <w:rPr>
          <w:b/>
        </w:rPr>
        <w:br/>
      </w:r>
    </w:p>
    <w:p>
      <w:pPr>
        <w:pStyle w:val="Heading3"/>
        <w:numPr>
          <w:ilvl w:val="0"/>
          <w:numId w:val="159"/>
        </w:numPr>
      </w:pPr>
      <w:r>
        <w:rPr/>
        <w:t>Thrombopénies néonatales</w:t>
      </w:r>
    </w:p>
    <w:p>
      <w:pPr>
        <w:pStyle w:val="Heading4"/>
      </w:pPr>
      <w:r>
        <w:rPr/>
        <w:t>Signes</w:t>
      </w:r>
      <w:r>
        <w:rPr/>
        <w:t xml:space="preserve"> : </w:t>
      </w:r>
    </w:p>
    <w:p>
      <w:pPr>
        <w:numPr>
          <w:ilvl w:val="2"/>
          <w:numId w:val="96"/>
        </w:numPr>
      </w:pPr>
      <w:r>
        <w:rPr/>
        <w:t>Pétéchies ou ecchymoses généralisées</w:t>
      </w:r>
    </w:p>
    <w:p>
      <w:pPr>
        <w:numPr>
          <w:ilvl w:val="2"/>
          <w:numId w:val="96"/>
        </w:numPr>
      </w:pPr>
      <w:r>
        <w:rPr>
          <w:b/>
        </w:rPr>
        <w:t>Plaquettes &lt; 100.000/mm3</w:t>
      </w:r>
      <w:r>
        <w:rPr>
          <w:b/>
        </w:rPr>
        <w:br/>
      </w:r>
    </w:p>
    <w:p>
      <w:pPr>
        <w:pStyle w:val="Heading4"/>
      </w:pPr>
      <w:r>
        <w:rPr/>
        <w:t>Causes</w:t>
      </w:r>
    </w:p>
    <w:p>
      <w:pPr>
        <w:numPr>
          <w:ilvl w:val="2"/>
          <w:numId w:val="96"/>
        </w:numPr>
      </w:pPr>
      <w:r>
        <w:rPr/>
        <w:t>Fœtopathies</w:t>
      </w:r>
    </w:p>
    <w:p>
      <w:pPr>
        <w:numPr>
          <w:ilvl w:val="2"/>
          <w:numId w:val="96"/>
        </w:numPr>
      </w:pPr>
      <w:r>
        <w:rPr/>
        <w:t>Infections néonatales</w:t>
      </w:r>
    </w:p>
    <w:p>
      <w:pPr>
        <w:numPr>
          <w:ilvl w:val="2"/>
          <w:numId w:val="96"/>
        </w:numPr>
      </w:pPr>
      <w:r>
        <w:rPr/>
        <w:t>Malformations</w:t>
      </w:r>
      <w:r>
        <w:rPr/>
        <w:br/>
      </w:r>
    </w:p>
    <w:p>
      <w:pPr>
        <w:pStyle w:val="Heading4"/>
      </w:pPr>
      <w:r>
        <w:rPr/>
        <w:t xml:space="preserve">Risque : </w:t>
      </w:r>
    </w:p>
    <w:p>
      <w:pPr/>
      <w:r>
        <w:rPr/>
        <w:t>H</w:t>
      </w:r>
      <w:r>
        <w:rPr/>
        <w:t xml:space="preserve">émorragie </w:t>
      </w:r>
      <w:r>
        <w:rPr/>
        <w:t>cérébro</w:t>
      </w:r>
      <w:r>
        <w:rPr/>
        <w:t>-méningée secondaire (si thrombopénie profonde)</w:t>
      </w:r>
      <w:r>
        <w:rPr/>
        <w:br/>
      </w:r>
    </w:p>
    <w:p>
      <w:pPr>
        <w:pStyle w:val="Heading4"/>
      </w:pPr>
      <w:r>
        <w:rPr/>
        <w:t>Traitement de fond : étiologique</w:t>
      </w:r>
      <w:r>
        <w:rPr/>
        <w:br/>
      </w:r>
    </w:p>
    <w:p>
      <w:pPr>
        <w:pStyle w:val="Heading4"/>
      </w:pPr>
      <w:r>
        <w:rPr/>
        <w:t xml:space="preserve">Traitement symptomatique </w:t>
      </w:r>
    </w:p>
    <w:p>
      <w:pPr>
        <w:numPr>
          <w:ilvl w:val="2"/>
          <w:numId w:val="96"/>
        </w:numPr>
      </w:pPr>
      <w:r>
        <w:rPr/>
        <w:t>Transfusion de sang hépariné</w:t>
      </w:r>
    </w:p>
    <w:p>
      <w:pPr>
        <w:numPr>
          <w:ilvl w:val="2"/>
          <w:numId w:val="96"/>
        </w:numPr>
      </w:pPr>
      <w:r>
        <w:rPr/>
        <w:t>Transufsion</w:t>
      </w:r>
      <w:r>
        <w:rPr/>
        <w:t xml:space="preserve"> de plaquettes 0,3 unités/kg (</w:t>
      </w:r>
      <w:r>
        <w:rPr>
          <w:i/>
        </w:rPr>
        <w:t>surtout PRP)</w:t>
      </w:r>
    </w:p>
    <w:p>
      <w:pPr>
        <w:numPr>
          <w:ilvl w:val="2"/>
          <w:numId w:val="96"/>
        </w:numPr>
      </w:pPr>
      <w:r>
        <w:rPr/>
        <w:t>Voire exsanguinotransfusion</w:t>
      </w:r>
      <w:r>
        <w:rPr/>
        <w:br/>
      </w:r>
    </w:p>
    <w:p>
      <w:pPr>
        <w:pStyle w:val="Heading3"/>
        <w:numPr>
          <w:ilvl w:val="0"/>
          <w:numId w:val="159"/>
        </w:numPr>
      </w:pPr>
      <w:r>
        <w:rPr/>
        <w:t>Déficits congénitaux des facteurs de coagulation (rares)</w:t>
      </w:r>
    </w:p>
    <w:p>
      <w:pPr>
        <w:numPr>
          <w:ilvl w:val="1"/>
          <w:numId w:val="96"/>
        </w:numPr>
      </w:pPr>
      <w:r>
        <w:rPr>
          <w:b/>
        </w:rPr>
        <w:t>Signes</w:t>
      </w:r>
      <w:r>
        <w:rPr/>
        <w:t xml:space="preserve"> : saignement prolongé à la chute du cordon ou lors d’une circoncision</w:t>
      </w:r>
      <w:r>
        <w:rPr/>
        <w:br/>
      </w:r>
    </w:p>
    <w:p>
      <w:pPr>
        <w:numPr>
          <w:ilvl w:val="1"/>
          <w:numId w:val="96"/>
        </w:numPr>
      </w:pPr>
      <w:r>
        <w:rPr>
          <w:b/>
        </w:rPr>
        <w:t>Causes</w:t>
      </w:r>
      <w:r>
        <w:rPr/>
        <w:t xml:space="preserve"> : </w:t>
      </w:r>
    </w:p>
    <w:p>
      <w:pPr>
        <w:numPr>
          <w:ilvl w:val="2"/>
          <w:numId w:val="96"/>
        </w:numPr>
      </w:pPr>
      <w:r>
        <w:rPr/>
        <w:t>Déficit en facteur I</w:t>
      </w:r>
    </w:p>
    <w:p>
      <w:pPr>
        <w:numPr>
          <w:ilvl w:val="2"/>
          <w:numId w:val="96"/>
        </w:numPr>
      </w:pPr>
      <w:r>
        <w:rPr/>
        <w:t>Déficit en facteur XIII</w:t>
      </w:r>
    </w:p>
    <w:p>
      <w:pPr>
        <w:numPr>
          <w:ilvl w:val="2"/>
          <w:numId w:val="96"/>
        </w:numPr>
      </w:pPr>
      <w:r>
        <w:rPr/>
        <w:t xml:space="preserve">Thrombasthénie de </w:t>
      </w:r>
      <w:r>
        <w:rPr/>
        <w:t>Glanzman</w:t>
      </w:r>
    </w:p>
    <w:p>
      <w:pPr>
        <w:numPr>
          <w:ilvl w:val="2"/>
          <w:numId w:val="96"/>
        </w:numPr>
      </w:pPr>
      <w:r>
        <w:rPr/>
        <w:t>Hémophilie A ou B</w:t>
      </w:r>
    </w:p>
    <w:p>
      <w:pPr>
        <w:numPr>
          <w:ilvl w:val="2"/>
          <w:numId w:val="96"/>
        </w:numPr>
      </w:pPr>
      <w:r>
        <w:rPr/>
        <w:t>Afibrinogénémie congénitale</w:t>
      </w:r>
      <w:r>
        <w:rPr/>
        <w:br/>
      </w:r>
    </w:p>
    <w:p>
      <w:pPr>
        <w:numPr>
          <w:ilvl w:val="1"/>
          <w:numId w:val="96"/>
        </w:numPr>
      </w:pPr>
      <w:r>
        <w:rPr>
          <w:b/>
        </w:rPr>
        <w:t xml:space="preserve">Traitement d’urgence : </w:t>
      </w:r>
      <w:r>
        <w:rPr/>
        <w:t>plasma frais congelé à 20 ml/kg (</w:t>
      </w:r>
      <w:r>
        <w:rPr>
          <w:i/>
        </w:rPr>
        <w:t xml:space="preserve">pour apporter les facteurs de </w:t>
      </w:r>
      <w:r>
        <w:rPr>
          <w:i/>
        </w:rPr>
        <w:t>coagulation ;</w:t>
      </w:r>
      <w:r>
        <w:rPr>
          <w:i/>
        </w:rPr>
        <w:t xml:space="preserve"> à défaut : sang total frais)</w:t>
      </w:r>
      <w:r>
        <w:rPr>
          <w:i/>
        </w:rPr>
        <w:br/>
      </w:r>
    </w:p>
    <w:p>
      <w:pPr>
        <w:pStyle w:val="Heading3"/>
        <w:numPr>
          <w:ilvl w:val="0"/>
          <w:numId w:val="159"/>
        </w:numPr>
      </w:pPr>
      <w:r>
        <w:rPr/>
        <w:t>Troubles secondaires de l’hémostase</w:t>
      </w:r>
      <w:r>
        <w:rPr/>
        <w:t xml:space="preserve"> </w:t>
      </w:r>
    </w:p>
    <w:p>
      <w:pPr>
        <w:numPr>
          <w:ilvl w:val="1"/>
          <w:numId w:val="96"/>
        </w:numPr>
      </w:pPr>
      <w:r>
        <w:rPr>
          <w:b/>
        </w:rPr>
        <w:t>Deux circonstances</w:t>
      </w:r>
    </w:p>
    <w:p>
      <w:pPr>
        <w:numPr>
          <w:ilvl w:val="2"/>
          <w:numId w:val="96"/>
        </w:numPr>
      </w:pPr>
      <w:r>
        <w:rPr>
          <w:b/>
        </w:rPr>
        <w:t>Agressions périnatales sévères :</w:t>
      </w:r>
    </w:p>
    <w:p>
      <w:pPr>
        <w:numPr>
          <w:ilvl w:val="3"/>
          <w:numId w:val="96"/>
        </w:numPr>
      </w:pPr>
      <w:r>
        <w:rPr/>
        <w:t>Anoxie</w:t>
      </w:r>
    </w:p>
    <w:p>
      <w:pPr>
        <w:numPr>
          <w:ilvl w:val="3"/>
          <w:numId w:val="96"/>
        </w:numPr>
      </w:pPr>
      <w:r>
        <w:rPr/>
        <w:t>Infections</w:t>
      </w:r>
    </w:p>
    <w:p>
      <w:pPr>
        <w:numPr>
          <w:ilvl w:val="3"/>
          <w:numId w:val="96"/>
        </w:numPr>
      </w:pPr>
      <w:r>
        <w:rPr/>
        <w:t>Insuffisances circulatoires aiguës</w:t>
      </w:r>
    </w:p>
    <w:p>
      <w:pPr>
        <w:numPr>
          <w:ilvl w:val="3"/>
          <w:numId w:val="96"/>
        </w:numPr>
      </w:pPr>
      <w:r>
        <w:rPr/>
        <w:t>Hémolyses aiguës</w:t>
      </w:r>
    </w:p>
    <w:p>
      <w:pPr>
        <w:numPr>
          <w:ilvl w:val="3"/>
          <w:numId w:val="96"/>
        </w:numPr>
      </w:pPr>
      <w:r>
        <w:rPr/>
        <w:t>Hypothermies profondes</w:t>
      </w:r>
    </w:p>
    <w:p>
      <w:pPr>
        <w:numPr>
          <w:ilvl w:val="2"/>
          <w:numId w:val="96"/>
        </w:numPr>
      </w:pPr>
      <w:r>
        <w:rPr>
          <w:b/>
        </w:rPr>
        <w:t>Insuffisance hépato-cellulaire</w:t>
      </w:r>
    </w:p>
    <w:p>
      <w:pPr>
        <w:numPr>
          <w:ilvl w:val="3"/>
          <w:numId w:val="96"/>
        </w:numPr>
      </w:pPr>
      <w:r>
        <w:rPr/>
        <w:t>Galactosémie</w:t>
      </w:r>
    </w:p>
    <w:p>
      <w:pPr>
        <w:numPr>
          <w:ilvl w:val="3"/>
          <w:numId w:val="96"/>
        </w:numPr>
      </w:pPr>
      <w:r>
        <w:rPr/>
        <w:t>Hépatite virale</w:t>
      </w:r>
      <w:r>
        <w:rPr/>
        <w:br/>
      </w:r>
    </w:p>
    <w:p>
      <w:pPr>
        <w:numPr>
          <w:ilvl w:val="1"/>
          <w:numId w:val="96"/>
        </w:numPr>
      </w:pPr>
      <w:r>
        <w:rPr>
          <w:b/>
        </w:rPr>
        <w:t>Clinique : syndrome hémorragique diffus</w:t>
      </w:r>
    </w:p>
    <w:p>
      <w:pPr>
        <w:numPr>
          <w:ilvl w:val="2"/>
          <w:numId w:val="96"/>
        </w:numPr>
      </w:pPr>
      <w:r>
        <w:rPr/>
        <w:t>Hémorragies cutanéo-muqueuses : purpura</w:t>
      </w:r>
    </w:p>
    <w:p>
      <w:pPr>
        <w:numPr>
          <w:ilvl w:val="2"/>
          <w:numId w:val="96"/>
        </w:numPr>
      </w:pPr>
      <w:r>
        <w:rPr/>
        <w:t>Hémorragie digestive</w:t>
      </w:r>
    </w:p>
    <w:p>
      <w:pPr>
        <w:numPr>
          <w:ilvl w:val="2"/>
          <w:numId w:val="96"/>
        </w:numPr>
      </w:pPr>
      <w:r>
        <w:rPr/>
        <w:t>Hématurie</w:t>
      </w:r>
    </w:p>
    <w:p>
      <w:pPr>
        <w:numPr>
          <w:ilvl w:val="2"/>
          <w:numId w:val="96"/>
        </w:numPr>
      </w:pPr>
      <w:r>
        <w:rPr/>
        <w:t>Saignement prolongé aux points de piqûres</w:t>
      </w:r>
      <w:r>
        <w:rPr/>
        <w:br/>
      </w:r>
    </w:p>
    <w:p>
      <w:pPr>
        <w:numPr>
          <w:ilvl w:val="1"/>
          <w:numId w:val="96"/>
        </w:numPr>
      </w:pPr>
      <w:r>
        <w:rPr>
          <w:b/>
        </w:rPr>
        <w:t xml:space="preserve">Risque : hémorragie </w:t>
      </w:r>
      <w:r>
        <w:rPr>
          <w:b/>
        </w:rPr>
        <w:t>intracrânienne</w:t>
      </w:r>
      <w:r>
        <w:rPr>
          <w:b/>
        </w:rPr>
        <w:br/>
      </w:r>
    </w:p>
    <w:p>
      <w:pPr>
        <w:numPr>
          <w:ilvl w:val="1"/>
          <w:numId w:val="96"/>
        </w:numPr>
      </w:pPr>
      <w:r>
        <w:rPr>
          <w:b/>
          <w:u w:val="single"/>
        </w:rPr>
        <w:t>Traitement étiologique :</w:t>
      </w:r>
      <w:r>
        <w:rPr/>
        <w:t xml:space="preserve"> essentiel</w:t>
      </w:r>
    </w:p>
    <w:p>
      <w:pPr>
        <w:numPr>
          <w:ilvl w:val="2"/>
          <w:numId w:val="96"/>
        </w:numPr>
      </w:pPr>
      <w:r>
        <w:rPr/>
        <w:t>Remplissage vasculaire</w:t>
      </w:r>
    </w:p>
    <w:p>
      <w:pPr>
        <w:numPr>
          <w:ilvl w:val="2"/>
          <w:numId w:val="96"/>
        </w:numPr>
      </w:pPr>
      <w:r>
        <w:rPr/>
        <w:t xml:space="preserve">Antibiothérapie adaptée </w:t>
      </w:r>
      <w:r>
        <w:rPr>
          <w:i/>
        </w:rPr>
        <w:t>si infection</w:t>
      </w:r>
      <w:r>
        <w:rPr>
          <w:i/>
        </w:rPr>
        <w:br/>
      </w:r>
    </w:p>
    <w:p>
      <w:pPr>
        <w:numPr>
          <w:ilvl w:val="1"/>
          <w:numId w:val="96"/>
        </w:numPr>
      </w:pPr>
      <w:r>
        <w:rPr>
          <w:b/>
          <w:u w:val="single"/>
        </w:rPr>
        <w:t>Traitement symptomatique</w:t>
      </w:r>
    </w:p>
    <w:p>
      <w:pPr>
        <w:numPr>
          <w:ilvl w:val="2"/>
          <w:numId w:val="96"/>
        </w:numPr>
      </w:pPr>
      <w:r>
        <w:rPr/>
        <w:t>Transfusion sanguine</w:t>
      </w:r>
    </w:p>
    <w:p>
      <w:pPr>
        <w:numPr>
          <w:ilvl w:val="2"/>
          <w:numId w:val="96"/>
        </w:numPr>
      </w:pPr>
      <w:r>
        <w:rPr/>
        <w:t>Transfusion de PFC : 10-15 ml/kg</w:t>
      </w:r>
    </w:p>
    <w:p>
      <w:pPr>
        <w:numPr>
          <w:ilvl w:val="2"/>
          <w:numId w:val="96"/>
        </w:numPr>
      </w:pPr>
      <w:r>
        <w:rPr/>
        <w:t>Transfusion de plaquettes compatibles : 1-2 unités toutes les 24 - 36 heures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97"/>
        </w:numPr>
      </w:pPr>
      <w:r>
        <w:rPr/>
        <w:t>Hémorragies néonatales : de causes variables</w:t>
      </w:r>
    </w:p>
    <w:p>
      <w:pPr>
        <w:numPr>
          <w:ilvl w:val="0"/>
          <w:numId w:val="97"/>
        </w:numPr>
      </w:pPr>
      <w:r>
        <w:rPr/>
        <w:t>Troubles secondaires de l’hémostase fréquents</w:t>
      </w:r>
    </w:p>
    <w:p>
      <w:pPr>
        <w:numPr>
          <w:ilvl w:val="0"/>
          <w:numId w:val="97"/>
        </w:numPr>
      </w:pPr>
      <w:r>
        <w:rPr/>
        <w:t>TOUJOURS PREVENIR la “maladie hémorragique du nouveau-né” ; vitamine K1 en 3 prises</w:t>
      </w:r>
      <w:r>
        <w:rPr/>
        <w:t xml:space="preserve"> </w:t>
      </w:r>
      <w:r>
        <w:rPr/>
        <w:t>{J0, J3-J7(J4), J28}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