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HYPOGLYCEMIE DE L’ENFANT (hors diabète)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83"/>
        </w:numPr>
      </w:pPr>
      <w:r>
        <w:rPr/>
        <w:t>Expliquer le métabolisme du glucose</w:t>
      </w:r>
    </w:p>
    <w:p>
      <w:pPr>
        <w:numPr>
          <w:ilvl w:val="0"/>
          <w:numId w:val="83"/>
        </w:numPr>
      </w:pPr>
      <w:r>
        <w:rPr/>
        <w:t>Reconnaître une hypoglycémie</w:t>
      </w:r>
    </w:p>
    <w:p>
      <w:pPr>
        <w:numPr>
          <w:ilvl w:val="0"/>
          <w:numId w:val="83"/>
        </w:numPr>
      </w:pPr>
      <w:r>
        <w:rPr/>
        <w:t>Instituer le traitement d’urgence</w:t>
      </w:r>
    </w:p>
    <w:p>
      <w:pPr>
        <w:numPr>
          <w:ilvl w:val="0"/>
          <w:numId w:val="83"/>
        </w:numPr>
      </w:pPr>
      <w:r>
        <w:rPr/>
        <w:t xml:space="preserve">Rechercher </w:t>
      </w:r>
      <w:r>
        <w:rPr/>
        <w:t>les causes</w:t>
      </w:r>
      <w:r>
        <w:rPr/>
        <w:t xml:space="preserve"> d’une hypoglycémie chez l’enfant</w:t>
      </w:r>
    </w:p>
    <w:p>
      <w:pPr/>
    </w:p>
    <w:p>
      <w:pPr>
        <w:pStyle w:val="Heading2"/>
        <w:numPr>
          <w:ilvl w:val="0"/>
          <w:numId w:val="156"/>
        </w:numPr>
      </w:pPr>
      <w:r>
        <w:rPr/>
        <w:t>INTRODUCTION</w:t>
      </w:r>
    </w:p>
    <w:p>
      <w:pPr>
        <w:pStyle w:val="Heading3"/>
      </w:pPr>
      <w:r>
        <w:rPr/>
        <w:t>Intérêts</w:t>
      </w:r>
      <w:r>
        <w:rPr/>
        <w:t xml:space="preserve"> </w:t>
      </w:r>
    </w:p>
    <w:p>
      <w:pPr>
        <w:numPr>
          <w:ilvl w:val="1"/>
          <w:numId w:val="84"/>
        </w:numPr>
      </w:pPr>
      <w:r>
        <w:rPr/>
        <w:t>Hypoglycémie : fréquente en pédiatrie</w:t>
      </w:r>
    </w:p>
    <w:p>
      <w:pPr>
        <w:numPr>
          <w:ilvl w:val="1"/>
          <w:numId w:val="84"/>
        </w:numPr>
      </w:pPr>
      <w:r>
        <w:rPr/>
        <w:t>Risque de séquelles neurologiques si hypoglycémie prolongée (</w:t>
      </w:r>
      <w:r>
        <w:rPr>
          <w:i/>
        </w:rPr>
        <w:t xml:space="preserve">à peu près </w:t>
      </w:r>
      <w:r>
        <w:rPr>
          <w:i/>
        </w:rPr>
        <w:t>méca</w:t>
      </w:r>
      <w:r>
        <w:rPr>
          <w:i/>
        </w:rPr>
        <w:t xml:space="preserve"> physiopathologique hypoxie ou anoxie</w:t>
      </w:r>
    </w:p>
    <w:p>
      <w:pPr>
        <w:numPr>
          <w:ilvl w:val="1"/>
          <w:numId w:val="84"/>
        </w:numPr>
      </w:pPr>
      <w:r>
        <w:rPr/>
        <w:t>Risque encore plus élevé chez les nouveau-nés et les nourrissons</w:t>
      </w:r>
    </w:p>
    <w:p>
      <w:pPr/>
    </w:p>
    <w:p>
      <w:pPr>
        <w:pStyle w:val="Heading2"/>
        <w:numPr>
          <w:ilvl w:val="0"/>
          <w:numId w:val="156"/>
        </w:numPr>
      </w:pPr>
      <w:r>
        <w:rPr/>
        <w:t>METABOLISME DU GLUCOSE</w:t>
      </w:r>
    </w:p>
    <w:p>
      <w:pPr>
        <w:numPr>
          <w:ilvl w:val="0"/>
          <w:numId w:val="85"/>
        </w:numPr>
      </w:pPr>
      <w:r>
        <w:rPr/>
        <w:t>Glucose : substrat énergétique majeur et principal des cellules</w:t>
      </w:r>
    </w:p>
    <w:p>
      <w:pPr>
        <w:numPr>
          <w:ilvl w:val="0"/>
          <w:numId w:val="85"/>
        </w:numPr>
      </w:pPr>
      <w:r>
        <w:rPr/>
        <w:t>Utilisaiton</w:t>
      </w:r>
      <w:r>
        <w:rPr/>
        <w:t xml:space="preserve"> obligatoire pour</w:t>
      </w:r>
    </w:p>
    <w:p>
      <w:pPr>
        <w:numPr>
          <w:ilvl w:val="1"/>
          <w:numId w:val="85"/>
        </w:numPr>
      </w:pPr>
      <w:r>
        <w:rPr/>
        <w:t>Cellules sanguines</w:t>
      </w:r>
    </w:p>
    <w:p>
      <w:pPr>
        <w:numPr>
          <w:ilvl w:val="1"/>
          <w:numId w:val="85"/>
        </w:numPr>
      </w:pPr>
      <w:r>
        <w:rPr/>
        <w:t>Moelle osseuse</w:t>
      </w:r>
    </w:p>
    <w:p>
      <w:pPr>
        <w:numPr>
          <w:ilvl w:val="1"/>
          <w:numId w:val="85"/>
        </w:numPr>
      </w:pPr>
      <w:r>
        <w:rPr/>
        <w:t>Médullaire rénale</w:t>
      </w:r>
    </w:p>
    <w:p>
      <w:pPr>
        <w:numPr>
          <w:ilvl w:val="1"/>
          <w:numId w:val="85"/>
        </w:numPr>
      </w:pPr>
      <w:r>
        <w:rPr/>
        <w:t xml:space="preserve">Nerfs </w:t>
      </w:r>
      <w:r>
        <w:rPr/>
        <w:t>pphq</w:t>
      </w:r>
      <w:r>
        <w:rPr/>
        <w:t xml:space="preserve"> et SNC</w:t>
      </w:r>
    </w:p>
    <w:p>
      <w:pPr>
        <w:numPr>
          <w:ilvl w:val="0"/>
          <w:numId w:val="85"/>
        </w:numPr>
      </w:pPr>
      <w:r>
        <w:rPr/>
        <w:t>Muscle, foie utilisent préférentiellement AG et corps cétoniques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7330400" cy="2044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0" cy="204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5463500" cy="19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0" cy="19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6"/>
        </w:numPr>
      </w:pPr>
      <w:r>
        <w:rPr>
          <w:b/>
        </w:rPr>
        <w:t>Origine du glucose circulant :</w:t>
      </w:r>
    </w:p>
    <w:p>
      <w:pPr>
        <w:numPr>
          <w:ilvl w:val="1"/>
          <w:numId w:val="86"/>
        </w:numPr>
      </w:pPr>
      <w:r>
        <w:rPr/>
        <w:t>A l’état nourri : le glucose se répartit entre :</w:t>
      </w:r>
    </w:p>
    <w:p>
      <w:pPr>
        <w:numPr>
          <w:ilvl w:val="2"/>
          <w:numId w:val="86"/>
        </w:numPr>
      </w:pPr>
      <w:r>
        <w:rPr/>
        <w:t xml:space="preserve">Tissus non insulinodépendants (50) </w:t>
      </w:r>
      <w:r>
        <w:rPr>
          <w:b/>
        </w:rPr>
        <w:t>“tissu nerveux”</w:t>
      </w:r>
    </w:p>
    <w:p>
      <w:pPr>
        <w:numPr>
          <w:ilvl w:val="2"/>
          <w:numId w:val="86"/>
        </w:numPr>
      </w:pPr>
      <w:r>
        <w:rPr/>
        <w:t>Tissus insulinodépendants</w:t>
      </w:r>
    </w:p>
    <w:p>
      <w:pPr>
        <w:numPr>
          <w:ilvl w:val="1"/>
          <w:numId w:val="86"/>
        </w:numPr>
      </w:pPr>
      <w:r>
        <w:rPr/>
        <w:t>Période intermédiaire ou jeûne court : 4-16h -&gt; glycogénolyse hépatique -&gt; principaux consommateurs : foie, cerveau, muscles</w:t>
      </w:r>
    </w:p>
    <w:p>
      <w:pPr>
        <w:numPr>
          <w:ilvl w:val="1"/>
          <w:numId w:val="86"/>
        </w:numPr>
      </w:pPr>
      <w:r>
        <w:rPr/>
        <w:t>Jeûne long : -&gt; néoglucogenèse hépatique (AA des muscles, lactate, lipolyse</w:t>
      </w:r>
      <w:r>
        <w:rPr/>
        <w:t>);</w:t>
      </w:r>
      <w:r>
        <w:rPr/>
        <w:t xml:space="preserve"> cétogenèse -&gt; utilisation de CC; </w:t>
      </w:r>
      <w:r>
        <w:rPr>
          <w:b/>
        </w:rPr>
        <w:t>réduction de consommation de glucose de tous les tissus</w:t>
      </w:r>
    </w:p>
    <w:p>
      <w:pPr/>
    </w:p>
    <w:p>
      <w:pPr>
        <w:pStyle w:val="Heading2"/>
        <w:numPr>
          <w:ilvl w:val="0"/>
          <w:numId w:val="156"/>
        </w:numPr>
      </w:pPr>
      <w:r>
        <w:rPr/>
        <w:t>PARTICULARITES DE LA REGULATION GLYCEMIQUE CHEZ L’ENFANT</w:t>
      </w:r>
    </w:p>
    <w:p>
      <w:pPr>
        <w:numPr>
          <w:ilvl w:val="0"/>
          <w:numId w:val="87"/>
        </w:numPr>
      </w:pPr>
      <w:r>
        <w:rPr/>
        <w:t xml:space="preserve">Réserve de glucose sous forme de glycogène +++ </w:t>
      </w:r>
      <w:r>
        <w:rPr>
          <w:b/>
        </w:rPr>
        <w:t xml:space="preserve">pendant les 2 derniers mois de grossesse </w:t>
      </w:r>
      <w:r>
        <w:rPr/>
        <w:t xml:space="preserve">pour le </w:t>
      </w:r>
      <w:r>
        <w:rPr/>
        <w:t>foetus</w:t>
      </w:r>
    </w:p>
    <w:p>
      <w:pPr>
        <w:numPr>
          <w:ilvl w:val="0"/>
          <w:numId w:val="87"/>
        </w:numPr>
      </w:pPr>
      <w:r>
        <w:rPr/>
        <w:t xml:space="preserve">Prématurité -&gt; </w:t>
      </w:r>
      <w:r>
        <w:rPr>
          <w:b/>
        </w:rPr>
        <w:t xml:space="preserve">pas de réserve </w:t>
      </w:r>
    </w:p>
    <w:p>
      <w:pPr>
        <w:numPr>
          <w:ilvl w:val="0"/>
          <w:numId w:val="87"/>
        </w:numPr>
      </w:pPr>
      <w:r>
        <w:rPr>
          <w:b/>
        </w:rPr>
        <w:t xml:space="preserve">Section du cordon ombilical = 1er jeûne </w:t>
      </w:r>
      <w:r>
        <w:rPr/>
        <w:t xml:space="preserve">alors que l’homéostasie du glucose n’est pas encore </w:t>
      </w:r>
      <w:r>
        <w:rPr/>
        <w:t>optimale</w:t>
      </w:r>
    </w:p>
    <w:p>
      <w:pPr>
        <w:numPr>
          <w:ilvl w:val="0"/>
          <w:numId w:val="87"/>
        </w:numPr>
      </w:pPr>
      <w:r>
        <w:rPr>
          <w:b/>
        </w:rPr>
        <w:t xml:space="preserve">Grande consommation de glucose par le cerveau chez le nourrisson et le petit enfant </w:t>
      </w:r>
      <w:r>
        <w:rPr/>
        <w:t>(60% de la consommation totale chez l’enfant et 25 % chez l’adulte)</w:t>
      </w:r>
    </w:p>
    <w:p>
      <w:pPr/>
    </w:p>
    <w:p>
      <w:pPr>
        <w:pStyle w:val="Heading2"/>
        <w:numPr>
          <w:ilvl w:val="0"/>
          <w:numId w:val="156"/>
        </w:numPr>
      </w:pPr>
      <w:r>
        <w:rPr/>
        <w:t>DIAGNOSTIC POSITIF</w:t>
      </w:r>
    </w:p>
    <w:p>
      <w:pPr>
        <w:pStyle w:val="Heading3"/>
        <w:numPr>
          <w:ilvl w:val="0"/>
          <w:numId w:val="153"/>
        </w:numPr>
      </w:pPr>
      <w:r>
        <w:rPr/>
        <w:t>Signes cliniques</w:t>
      </w:r>
    </w:p>
    <w:p>
      <w:pPr>
        <w:pStyle w:val="Heading4"/>
        <w:numPr>
          <w:ilvl w:val="0"/>
          <w:numId w:val="154"/>
        </w:numPr>
      </w:pPr>
      <w:r>
        <w:rPr/>
        <w:t>Nouveau-né :</w:t>
      </w:r>
    </w:p>
    <w:p>
      <w:pPr>
        <w:numPr>
          <w:ilvl w:val="2"/>
          <w:numId w:val="88"/>
        </w:numPr>
      </w:pPr>
      <w:r>
        <w:rPr/>
        <w:t>Pâleur (</w:t>
      </w:r>
      <w:r>
        <w:rPr>
          <w:i/>
        </w:rPr>
        <w:t xml:space="preserve">rose dia </w:t>
      </w:r>
      <w:r>
        <w:rPr>
          <w:i/>
        </w:rPr>
        <w:t>avy</w:t>
      </w:r>
      <w:r>
        <w:rPr>
          <w:i/>
        </w:rPr>
        <w:t xml:space="preserve"> </w:t>
      </w:r>
      <w:r>
        <w:rPr>
          <w:i/>
        </w:rPr>
        <w:t>eo</w:t>
      </w:r>
      <w:r>
        <w:rPr>
          <w:i/>
        </w:rPr>
        <w:t xml:space="preserve"> </w:t>
      </w:r>
      <w:r>
        <w:rPr>
          <w:i/>
        </w:rPr>
        <w:t>nefa</w:t>
      </w:r>
      <w:r>
        <w:rPr>
          <w:i/>
        </w:rPr>
        <w:t xml:space="preserve"> lasa pâle)</w:t>
      </w:r>
      <w:r>
        <w:rPr/>
        <w:t>, flush</w:t>
      </w:r>
      <w:r>
        <w:rPr/>
        <w:t xml:space="preserve"> </w:t>
      </w:r>
      <w:r>
        <w:rPr/>
        <w:t>(</w:t>
      </w:r>
      <w:r>
        <w:rPr>
          <w:i/>
        </w:rPr>
        <w:t>pâleur cutanée)</w:t>
      </w:r>
    </w:p>
    <w:p>
      <w:pPr>
        <w:numPr>
          <w:ilvl w:val="2"/>
          <w:numId w:val="88"/>
        </w:numPr>
      </w:pPr>
      <w:r>
        <w:rPr/>
        <w:t>Hypothermie (</w:t>
      </w:r>
      <w:r>
        <w:rPr>
          <w:i/>
        </w:rPr>
        <w:t>toute dysrégulation glucidique peut entraîner une dysrégulation thermique par défaut énergétique)</w:t>
      </w:r>
    </w:p>
    <w:p>
      <w:pPr>
        <w:numPr>
          <w:ilvl w:val="2"/>
          <w:numId w:val="88"/>
        </w:numPr>
      </w:pPr>
      <w:r>
        <w:rPr/>
        <w:t>Difficulté d’alimentation, vomissements</w:t>
      </w:r>
    </w:p>
    <w:p>
      <w:pPr>
        <w:numPr>
          <w:ilvl w:val="2"/>
          <w:numId w:val="88"/>
        </w:numPr>
      </w:pPr>
      <w:r>
        <w:rPr/>
        <w:t>Polypnée, pauses respiratoires, tachycardie</w:t>
      </w:r>
    </w:p>
    <w:p>
      <w:pPr>
        <w:numPr>
          <w:ilvl w:val="2"/>
          <w:numId w:val="88"/>
        </w:numPr>
      </w:pPr>
      <w:r>
        <w:rPr/>
        <w:t>Cri anormal (</w:t>
      </w:r>
      <w:r>
        <w:rPr>
          <w:i/>
        </w:rPr>
        <w:t>plus faible)</w:t>
      </w:r>
      <w:r>
        <w:rPr/>
        <w:t>, irritabilité</w:t>
      </w:r>
    </w:p>
    <w:p>
      <w:pPr>
        <w:numPr>
          <w:ilvl w:val="2"/>
          <w:numId w:val="88"/>
        </w:numPr>
      </w:pPr>
      <w:r>
        <w:rPr/>
        <w:t>Trémulations, mouvements anormaux, hypotonie</w:t>
      </w:r>
    </w:p>
    <w:p>
      <w:pPr>
        <w:numPr>
          <w:ilvl w:val="2"/>
          <w:numId w:val="88"/>
        </w:numPr>
      </w:pPr>
      <w:r>
        <w:rPr/>
        <w:t>Somnolence, coma, convulsions, malaise</w:t>
      </w:r>
      <w:r>
        <w:rPr/>
        <w:br/>
      </w:r>
    </w:p>
    <w:p>
      <w:pPr>
        <w:pStyle w:val="Heading4"/>
        <w:numPr>
          <w:ilvl w:val="0"/>
          <w:numId w:val="154"/>
        </w:numPr>
      </w:pPr>
      <w:r>
        <w:rPr/>
        <w:t>Enfant :</w:t>
      </w:r>
    </w:p>
    <w:p>
      <w:pPr>
        <w:numPr>
          <w:ilvl w:val="2"/>
          <w:numId w:val="88"/>
        </w:numPr>
      </w:pPr>
      <w:r>
        <w:rPr/>
        <w:t>Faim impérieuse</w:t>
      </w:r>
    </w:p>
    <w:p>
      <w:pPr>
        <w:numPr>
          <w:ilvl w:val="2"/>
          <w:numId w:val="88"/>
        </w:numPr>
      </w:pPr>
      <w:r>
        <w:rPr/>
        <w:t>Vomissements, douleur abdominale</w:t>
      </w:r>
    </w:p>
    <w:p>
      <w:pPr>
        <w:numPr>
          <w:ilvl w:val="2"/>
          <w:numId w:val="88"/>
        </w:numPr>
      </w:pPr>
      <w:r>
        <w:rPr/>
        <w:t>Pâleur, sueurs</w:t>
      </w:r>
    </w:p>
    <w:p>
      <w:pPr>
        <w:numPr>
          <w:ilvl w:val="2"/>
          <w:numId w:val="88"/>
        </w:numPr>
      </w:pPr>
      <w:r>
        <w:rPr/>
        <w:t>Regard vide, troubles du comportement, irritabilité</w:t>
      </w:r>
    </w:p>
    <w:p>
      <w:pPr>
        <w:numPr>
          <w:ilvl w:val="2"/>
          <w:numId w:val="88"/>
        </w:numPr>
      </w:pPr>
      <w:r>
        <w:rPr/>
        <w:t>Céphalée, confusion mentale, coma</w:t>
      </w:r>
    </w:p>
    <w:p>
      <w:pPr>
        <w:numPr>
          <w:ilvl w:val="2"/>
          <w:numId w:val="88"/>
        </w:numPr>
      </w:pPr>
      <w:r>
        <w:rPr/>
        <w:t xml:space="preserve">Convulsions souvent révélatrices </w:t>
      </w:r>
      <w:r>
        <w:rPr>
          <w:i/>
        </w:rPr>
        <w:t>de l’hypoglycémie</w:t>
      </w:r>
      <w:r>
        <w:rPr>
          <w:i/>
        </w:rPr>
        <w:br/>
      </w:r>
    </w:p>
    <w:p>
      <w:pPr>
        <w:pStyle w:val="Heading3"/>
        <w:numPr>
          <w:ilvl w:val="0"/>
          <w:numId w:val="153"/>
        </w:numPr>
      </w:pPr>
      <w:r>
        <w:rPr/>
        <w:t>Examens complémentaires :</w:t>
      </w:r>
    </w:p>
    <w:p>
      <w:pPr>
        <w:numPr>
          <w:ilvl w:val="1"/>
          <w:numId w:val="88"/>
        </w:numPr>
      </w:pPr>
      <w:r>
        <w:rPr>
          <w:b/>
        </w:rPr>
        <w:t>Glycémie capillaire (glucomètre)</w:t>
      </w:r>
    </w:p>
    <w:p>
      <w:pPr>
        <w:numPr>
          <w:ilvl w:val="2"/>
          <w:numId w:val="88"/>
        </w:numPr>
      </w:pPr>
      <w:r>
        <w:rPr/>
        <w:t xml:space="preserve">Enfant &lt; 2,8 </w:t>
      </w:r>
      <w:r>
        <w:rPr/>
        <w:t>mmol</w:t>
      </w:r>
      <w:r>
        <w:rPr/>
        <w:t>/l (&lt;50mg/dl)</w:t>
      </w:r>
    </w:p>
    <w:p>
      <w:pPr>
        <w:numPr>
          <w:ilvl w:val="2"/>
          <w:numId w:val="88"/>
        </w:numPr>
      </w:pPr>
      <w:r>
        <w:rPr/>
        <w:t>Nouveau-né</w:t>
      </w:r>
      <w:r>
        <w:rPr/>
        <w:t xml:space="preserve"> à terme symptomatique : &lt;2,2 </w:t>
      </w:r>
      <w:r>
        <w:rPr/>
        <w:t>mmol</w:t>
      </w:r>
      <w:r>
        <w:rPr/>
        <w:t>/l (&lt;40mg/dl)</w:t>
      </w:r>
    </w:p>
    <w:p>
      <w:pPr>
        <w:numPr>
          <w:ilvl w:val="2"/>
          <w:numId w:val="88"/>
        </w:numPr>
      </w:pPr>
      <w:r>
        <w:rPr/>
        <w:t>Nouveau-né</w:t>
      </w:r>
      <w:r>
        <w:rPr/>
        <w:t xml:space="preserve"> à terme asymptomatique 24 à 48h de vie : &lt;2,5 </w:t>
      </w:r>
      <w:r>
        <w:rPr/>
        <w:t>mmol</w:t>
      </w:r>
      <w:r>
        <w:rPr/>
        <w:t>/l (45 mg/dl)</w:t>
      </w:r>
    </w:p>
    <w:p>
      <w:pPr>
        <w:numPr>
          <w:ilvl w:val="2"/>
          <w:numId w:val="88"/>
        </w:numPr>
      </w:pPr>
      <w:r>
        <w:rPr/>
        <w:t xml:space="preserve">Nouveau-né prématuré 48 premières heures de vie : &lt; 1,7 </w:t>
      </w:r>
      <w:r>
        <w:rPr/>
        <w:t>mmol</w:t>
      </w:r>
      <w:r>
        <w:rPr/>
        <w:t>/l (&lt; 30mg/dl)</w:t>
      </w:r>
    </w:p>
    <w:p>
      <w:pPr>
        <w:numPr>
          <w:ilvl w:val="1"/>
          <w:numId w:val="88"/>
        </w:numPr>
      </w:pPr>
      <w:r>
        <w:rPr>
          <w:b/>
        </w:rPr>
        <w:t>Confirmation : techniques enzymatiques (glucose oxydase)</w:t>
      </w:r>
    </w:p>
    <w:p>
      <w:pPr/>
    </w:p>
    <w:p>
      <w:pPr>
        <w:pStyle w:val="Heading2"/>
        <w:numPr>
          <w:ilvl w:val="0"/>
          <w:numId w:val="156"/>
        </w:numPr>
      </w:pPr>
      <w:r>
        <w:rPr/>
        <w:t>TRAITEMENT D’URGENCE :</w:t>
      </w:r>
    </w:p>
    <w:p>
      <w:pPr>
        <w:pStyle w:val="Heading3"/>
        <w:numPr>
          <w:ilvl w:val="0"/>
          <w:numId w:val="155"/>
        </w:numPr>
      </w:pPr>
      <w:r>
        <w:rPr/>
        <w:t>ENFANT</w:t>
      </w:r>
    </w:p>
    <w:p>
      <w:pPr>
        <w:numPr>
          <w:ilvl w:val="0"/>
          <w:numId w:val="89"/>
        </w:numPr>
      </w:pPr>
      <w:r>
        <w:rPr/>
        <w:t>Si possibilité d’accès veineux et patient incapable de s’alimenter :</w:t>
      </w:r>
    </w:p>
    <w:p>
      <w:pPr>
        <w:numPr>
          <w:ilvl w:val="1"/>
          <w:numId w:val="89"/>
        </w:numPr>
      </w:pPr>
      <w:r>
        <w:rPr>
          <w:b/>
        </w:rPr>
        <w:t xml:space="preserve">Bolus de SGH 10% 0,2 à 0,4 g/kg (2-4 ml/kg) en IV puis relais par une perfusion continue de SGH 10% de 4 à 6ml/kg/h en fonction de l’âge </w:t>
      </w:r>
      <w:r>
        <w:rPr>
          <w:i/>
        </w:rPr>
        <w:t>+ contrôle régulier de la glycémie</w:t>
      </w:r>
    </w:p>
    <w:p>
      <w:pPr>
        <w:numPr>
          <w:ilvl w:val="0"/>
          <w:numId w:val="89"/>
        </w:numPr>
      </w:pPr>
      <w:r>
        <w:rPr/>
        <w:t>Si voie veineuse inaccessible et patient incapable de s’alimenter :</w:t>
      </w:r>
    </w:p>
    <w:p>
      <w:pPr>
        <w:numPr>
          <w:ilvl w:val="1"/>
          <w:numId w:val="89"/>
        </w:numPr>
      </w:pPr>
      <w:r>
        <w:rPr>
          <w:b/>
        </w:rPr>
        <w:t xml:space="preserve">Glucagon IM 0,5 mg (si poids </w:t>
      </w:r>
      <w:r>
        <w:rPr>
          <w:rFonts w:ascii="Symbol" w:hAnsi="Symbol"/>
          <w:b/>
        </w:rPr>
      </w:r>
      <w:r>
        <w:rPr/>
        <w:t xml:space="preserve"> 20kg) </w:t>
      </w:r>
      <w:r>
        <w:rPr>
          <w:b/>
        </w:rPr>
        <w:t xml:space="preserve">ou 1 mg (si poids </w:t>
      </w:r>
      <w:r>
        <w:rPr>
          <w:rFonts w:ascii="Symbol" w:hAnsi="Symbol"/>
          <w:b/>
        </w:rPr>
      </w:r>
      <w:r>
        <w:rPr/>
        <w:t xml:space="preserve"> 20 kg)</w:t>
      </w:r>
    </w:p>
    <w:p>
      <w:pPr>
        <w:numPr>
          <w:ilvl w:val="0"/>
          <w:numId w:val="89"/>
        </w:numPr>
      </w:pPr>
      <w:r>
        <w:rPr/>
        <w:t>Patient capable de s’alimenter :</w:t>
      </w:r>
    </w:p>
    <w:p>
      <w:pPr>
        <w:numPr>
          <w:ilvl w:val="1"/>
          <w:numId w:val="89"/>
        </w:numPr>
      </w:pPr>
      <w:r>
        <w:rPr>
          <w:b/>
        </w:rPr>
        <w:t>1 morceau de sucre (5g) pour 20 k ou 100ml de boisson sucrée pouvant être répété /5min jusqu’à normalisation de la glycémie</w:t>
      </w:r>
    </w:p>
    <w:p>
      <w:pPr/>
    </w:p>
    <w:p>
      <w:pPr>
        <w:pStyle w:val="Heading3"/>
        <w:numPr>
          <w:ilvl w:val="0"/>
          <w:numId w:val="155"/>
        </w:numPr>
      </w:pPr>
      <w:r>
        <w:rPr/>
        <w:t>NOUVEAU-NE</w:t>
      </w:r>
    </w:p>
    <w:p>
      <w:pPr>
        <w:numPr>
          <w:ilvl w:val="0"/>
          <w:numId w:val="90"/>
        </w:numPr>
      </w:pPr>
      <w:r>
        <w:rPr/>
        <w:t>Bolus de SGH 10% 2ml/kg</w:t>
      </w:r>
    </w:p>
    <w:p>
      <w:pPr>
        <w:numPr>
          <w:ilvl w:val="0"/>
          <w:numId w:val="90"/>
        </w:numPr>
      </w:pPr>
      <w:r>
        <w:rPr/>
        <w:t xml:space="preserve">Puis perfusion </w:t>
      </w:r>
      <w:r>
        <w:rPr/>
        <w:t>polyionique</w:t>
      </w:r>
      <w:r>
        <w:rPr/>
        <w:t xml:space="preserve"> à base de SGH 10% 80 ml/kg/24h</w:t>
      </w:r>
    </w:p>
    <w:p>
      <w:pPr>
        <w:numPr>
          <w:ilvl w:val="0"/>
          <w:numId w:val="90"/>
        </w:numPr>
      </w:pPr>
      <w:r>
        <w:rPr/>
        <w:t>Maintenir si possible une alimentation entérale (AM, cuillère, SNG)</w:t>
      </w:r>
    </w:p>
    <w:p>
      <w:pPr>
        <w:numPr>
          <w:ilvl w:val="0"/>
          <w:numId w:val="90"/>
        </w:numPr>
      </w:pPr>
      <w:r>
        <w:rPr/>
        <w:t>Contrôle de la glycémie après 30 min puis surveillance toutes les 3 heures</w:t>
      </w:r>
    </w:p>
    <w:p>
      <w:pPr/>
    </w:p>
    <w:p>
      <w:pPr>
        <w:pStyle w:val="Heading2"/>
        <w:numPr>
          <w:ilvl w:val="0"/>
          <w:numId w:val="156"/>
        </w:numPr>
      </w:pPr>
      <w:r>
        <w:rPr/>
        <w:t>ETIOLOGIE</w:t>
      </w:r>
      <w:r>
        <w:rPr/>
        <w:t>S</w:t>
      </w:r>
    </w:p>
    <w:p>
      <w:pPr>
        <w:pStyle w:val="Heading3"/>
        <w:numPr>
          <w:ilvl w:val="0"/>
          <w:numId w:val="157"/>
        </w:numPr>
      </w:pPr>
      <w:r>
        <w:rPr/>
        <w:t>Nouveau-né</w:t>
      </w:r>
    </w:p>
    <w:p>
      <w:pPr>
        <w:numPr>
          <w:ilvl w:val="1"/>
          <w:numId w:val="91"/>
        </w:numPr>
      </w:pPr>
      <w:r>
        <w:rPr>
          <w:b/>
        </w:rPr>
        <w:t>Prématurité - hypotrophie</w:t>
      </w:r>
    </w:p>
    <w:p>
      <w:pPr>
        <w:numPr>
          <w:ilvl w:val="1"/>
          <w:numId w:val="91"/>
        </w:numPr>
      </w:pPr>
      <w:r>
        <w:rPr>
          <w:b/>
        </w:rPr>
        <w:t>Nouveau-né de mère diabétique</w:t>
      </w:r>
      <w:r>
        <w:rPr/>
        <w:t xml:space="preserve"> (</w:t>
      </w:r>
      <w:r>
        <w:rPr>
          <w:i/>
        </w:rPr>
        <w:t xml:space="preserve">insulinothérapie de la mère passe chez le bébé + déficit énergétique, s’est habitué à l’insuline de sa mère </w:t>
      </w:r>
      <w:r>
        <w:rPr>
          <w:b/>
          <w:i/>
        </w:rPr>
        <w:t>27min 45</w:t>
      </w:r>
      <w:r>
        <w:rPr>
          <w:i/>
        </w:rPr>
        <w:t>)</w:t>
      </w:r>
    </w:p>
    <w:p>
      <w:pPr>
        <w:numPr>
          <w:ilvl w:val="1"/>
          <w:numId w:val="91"/>
        </w:numPr>
      </w:pPr>
      <w:r>
        <w:rPr>
          <w:b/>
        </w:rPr>
        <w:t>Détresses néonatales</w:t>
      </w:r>
    </w:p>
    <w:p>
      <w:pPr>
        <w:numPr>
          <w:ilvl w:val="1"/>
          <w:numId w:val="91"/>
        </w:numPr>
      </w:pPr>
      <w:r>
        <w:rPr/>
        <w:t>Sd de Wiedemann-</w:t>
      </w:r>
      <w:r>
        <w:rPr/>
        <w:t>Beckwith</w:t>
      </w:r>
      <w:r>
        <w:rPr/>
        <w:t xml:space="preserve"> (hyperplasie des îlots de </w:t>
      </w:r>
      <w:r>
        <w:rPr/>
        <w:t>Langherhans</w:t>
      </w:r>
      <w:r>
        <w:rPr/>
        <w:t xml:space="preserve">) : macrosomie, macroglossie, sillon de l’oreille, omphalocèle ou </w:t>
      </w:r>
      <w:r>
        <w:rPr/>
        <w:t>viscéralomégalie</w:t>
      </w:r>
    </w:p>
    <w:p>
      <w:pPr>
        <w:numPr>
          <w:ilvl w:val="1"/>
          <w:numId w:val="91"/>
        </w:numPr>
      </w:pPr>
      <w:r>
        <w:rPr/>
        <w:t xml:space="preserve">Hypopituitarismes congénitaux (déficit en GH e ACTH combiné) : syndrome </w:t>
      </w:r>
      <w:r>
        <w:rPr/>
        <w:t>polymalformatif</w:t>
      </w:r>
      <w:r>
        <w:rPr/>
        <w:t>, micropénis</w:t>
      </w:r>
      <w:r>
        <w:rPr/>
        <w:br/>
      </w:r>
    </w:p>
    <w:p>
      <w:pPr>
        <w:pStyle w:val="Heading3"/>
        <w:numPr>
          <w:ilvl w:val="0"/>
          <w:numId w:val="157"/>
        </w:numPr>
      </w:pPr>
      <w:r>
        <w:rPr/>
        <w:t>Nourrisson et enfant :</w:t>
      </w:r>
    </w:p>
    <w:p>
      <w:pPr>
        <w:numPr>
          <w:ilvl w:val="1"/>
          <w:numId w:val="91"/>
        </w:numPr>
      </w:pPr>
      <w:r>
        <w:rPr>
          <w:b/>
        </w:rPr>
        <w:t>Déficits métaboliques :</w:t>
      </w:r>
    </w:p>
    <w:p>
      <w:pPr>
        <w:numPr>
          <w:ilvl w:val="2"/>
          <w:numId w:val="91"/>
        </w:numPr>
      </w:pPr>
      <w:r>
        <w:rPr/>
        <w:t xml:space="preserve">Déficit de la </w:t>
      </w:r>
      <w:r>
        <w:rPr/>
        <w:t>nuoglucongenèse</w:t>
      </w:r>
    </w:p>
    <w:p>
      <w:pPr>
        <w:numPr>
          <w:ilvl w:val="2"/>
          <w:numId w:val="91"/>
        </w:numPr>
      </w:pPr>
      <w:r>
        <w:rPr/>
        <w:t>Déficit de la glycogénolyse</w:t>
      </w:r>
    </w:p>
    <w:p>
      <w:pPr>
        <w:numPr>
          <w:ilvl w:val="2"/>
          <w:numId w:val="91"/>
        </w:numPr>
      </w:pPr>
      <w:r>
        <w:rPr/>
        <w:t>Déficit de la cétogenèse</w:t>
      </w:r>
    </w:p>
    <w:p>
      <w:pPr>
        <w:numPr>
          <w:ilvl w:val="2"/>
          <w:numId w:val="91"/>
        </w:numPr>
      </w:pPr>
      <w:r>
        <w:rPr/>
        <w:t>Hypoglycémie récurrente avec cétose (Début de 1-5 ans et disparaît entre 7-8 ans) : au cours des jeûnes prolongés</w:t>
      </w:r>
      <w:r>
        <w:rPr/>
        <w:br/>
      </w:r>
    </w:p>
    <w:p>
      <w:pPr>
        <w:numPr>
          <w:ilvl w:val="1"/>
          <w:numId w:val="91"/>
        </w:numPr>
      </w:pPr>
      <w:r>
        <w:rPr>
          <w:b/>
        </w:rPr>
        <w:t>Déficits endocriniens</w:t>
      </w:r>
    </w:p>
    <w:p>
      <w:pPr>
        <w:numPr>
          <w:ilvl w:val="2"/>
          <w:numId w:val="91"/>
        </w:numPr>
      </w:pPr>
      <w:r>
        <w:rPr/>
        <w:t>Hyperinsulinisme</w:t>
      </w:r>
    </w:p>
    <w:p>
      <w:pPr>
        <w:numPr>
          <w:ilvl w:val="2"/>
          <w:numId w:val="91"/>
        </w:numPr>
      </w:pPr>
      <w:r>
        <w:rPr/>
        <w:t>Déficit en GH isolé ou associé</w:t>
      </w:r>
    </w:p>
    <w:p>
      <w:pPr>
        <w:numPr>
          <w:ilvl w:val="2"/>
          <w:numId w:val="91"/>
        </w:numPr>
      </w:pPr>
      <w:r>
        <w:rPr/>
        <w:t>Insuffisance surrénale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92"/>
        </w:numPr>
      </w:pPr>
      <w:r>
        <w:rPr/>
        <w:t>Hypoglycémies fréquentes en néonatologie</w:t>
      </w:r>
    </w:p>
    <w:p>
      <w:pPr>
        <w:numPr>
          <w:ilvl w:val="0"/>
          <w:numId w:val="92"/>
        </w:numPr>
      </w:pPr>
      <w:r>
        <w:rPr/>
        <w:t>Causes souvent ponctuelles</w:t>
      </w:r>
    </w:p>
    <w:p>
      <w:pPr>
        <w:numPr>
          <w:ilvl w:val="0"/>
          <w:numId w:val="92"/>
        </w:numPr>
      </w:pPr>
      <w:r>
        <w:rPr/>
        <w:t>Vigilance chez les nouveau-nés de mère diabétique</w:t>
      </w:r>
    </w:p>
    <w:p>
      <w:pPr>
        <w:numPr>
          <w:ilvl w:val="0"/>
          <w:numId w:val="92"/>
        </w:numPr>
      </w:pPr>
      <w:r>
        <w:rPr/>
        <w:t>Chez l’enfant, 2 groupes de causes : déficits métaboliques et déficits endocriniens</w:t>
      </w:r>
    </w:p>
    <w:p>
      <w:pPr>
        <w:numPr>
          <w:ilvl w:val="0"/>
          <w:numId w:val="92"/>
        </w:numPr>
      </w:pPr>
      <w:r>
        <w:rPr/>
        <w:t xml:space="preserve">Traitement d’urgence dans tous les cas </w:t>
      </w:r>
      <w:r>
        <w:rPr>
          <w:i/>
        </w:rPr>
        <w:t>pour éviter les séquelles neurologiques devant une hypoglycémie prolongée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