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INFECTION URINAIRE DE L’ENFANT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53"/>
        </w:numPr>
      </w:pPr>
      <w:r>
        <w:rPr/>
        <w:t>Poser le diagnostic positif de l’infection urinaire de l’enfant</w:t>
      </w:r>
    </w:p>
    <w:p>
      <w:pPr>
        <w:numPr>
          <w:ilvl w:val="0"/>
          <w:numId w:val="53"/>
        </w:numPr>
      </w:pPr>
      <w:r>
        <w:rPr/>
        <w:t>Citer les principaux germes responsables</w:t>
      </w:r>
    </w:p>
    <w:p>
      <w:pPr>
        <w:numPr>
          <w:ilvl w:val="0"/>
          <w:numId w:val="53"/>
        </w:numPr>
      </w:pPr>
      <w:r>
        <w:rPr/>
        <w:t>Prendre en charge l’infection urinaire de l’enfant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54"/>
        </w:numPr>
      </w:pPr>
      <w:r>
        <w:rPr/>
        <w:t xml:space="preserve">Infection urinaire : affecte 1% des enfants </w:t>
      </w:r>
      <w:r>
        <w:rPr/>
      </w:r>
      <w:r>
        <w:rPr/>
        <w:t xml:space="preserve"> 2 ans</w:t>
      </w:r>
    </w:p>
    <w:p>
      <w:pPr>
        <w:numPr>
          <w:ilvl w:val="0"/>
          <w:numId w:val="54"/>
        </w:numPr>
      </w:pPr>
      <w:r>
        <w:rPr/>
        <w:t>Prédominance masculine durant les 1ers mois de vie, puis prédominance féminine</w:t>
      </w:r>
    </w:p>
    <w:p>
      <w:pPr>
        <w:numPr>
          <w:ilvl w:val="0"/>
          <w:numId w:val="54"/>
        </w:numPr>
      </w:pPr>
      <w:r>
        <w:rPr/>
        <w:t>2 types topographiques</w:t>
      </w:r>
    </w:p>
    <w:p>
      <w:pPr>
        <w:numPr>
          <w:ilvl w:val="1"/>
          <w:numId w:val="54"/>
        </w:numPr>
      </w:pPr>
      <w:r>
        <w:rPr/>
        <w:t>Infection urinaire basse : Cystite</w:t>
      </w:r>
    </w:p>
    <w:p>
      <w:pPr>
        <w:numPr>
          <w:ilvl w:val="1"/>
          <w:numId w:val="54"/>
        </w:numPr>
      </w:pPr>
      <w:r>
        <w:rPr/>
        <w:t xml:space="preserve">Infection urinaire </w:t>
      </w:r>
      <w:r>
        <w:rPr/>
        <w:t>haute :</w:t>
      </w:r>
      <w:r>
        <w:rPr/>
        <w:t xml:space="preserve"> pyélonéphrite aiguë (PNA)</w:t>
      </w:r>
    </w:p>
    <w:p>
      <w:pPr/>
    </w:p>
    <w:p>
      <w:pPr>
        <w:pStyle w:val="Heading2"/>
      </w:pPr>
      <w:r>
        <w:rPr/>
        <w:t>PHYSIOPATHOLOGIE</w:t>
      </w:r>
    </w:p>
    <w:p>
      <w:pPr>
        <w:numPr>
          <w:ilvl w:val="0"/>
          <w:numId w:val="55"/>
        </w:numPr>
      </w:pPr>
      <w:r>
        <w:rPr/>
        <w:t>Urine et arbre urinaire : normalement stériles</w:t>
      </w:r>
    </w:p>
    <w:p>
      <w:pPr>
        <w:numPr>
          <w:ilvl w:val="0"/>
          <w:numId w:val="55"/>
        </w:numPr>
      </w:pPr>
      <w:r>
        <w:rPr/>
        <w:t xml:space="preserve">Colonisation microbienne : suit le chemin inverse de l’écoulement normal de l’urine : </w:t>
      </w:r>
      <w:r>
        <w:rPr/>
        <w:t>périnée -&gt; urètre -&gt; vessie</w:t>
      </w:r>
      <w:r>
        <w:rPr/>
      </w:r>
      <w:r>
        <w:rPr/>
        <w:t xml:space="preserve"> -&gt; </w:t>
      </w:r>
      <w:r>
        <w:rPr/>
        <w:t>uretère -&gt; bassinet -&gt; rein</w:t>
      </w:r>
      <w:r>
        <w:rPr/>
      </w:r>
    </w:p>
    <w:p>
      <w:pPr>
        <w:numPr>
          <w:ilvl w:val="1"/>
          <w:numId w:val="55"/>
        </w:numPr>
      </w:pPr>
      <w:r>
        <w:rPr/>
        <w:t>Les 3 premières : IU basse</w:t>
      </w:r>
    </w:p>
    <w:p>
      <w:pPr>
        <w:numPr>
          <w:ilvl w:val="1"/>
          <w:numId w:val="55"/>
        </w:numPr>
      </w:pPr>
      <w:r>
        <w:rPr/>
        <w:t>Les 3 dernières : IU haute</w:t>
      </w:r>
      <w:r>
        <w:rPr/>
        <w:br/>
      </w:r>
    </w:p>
    <w:p>
      <w:pPr>
        <w:numPr>
          <w:ilvl w:val="0"/>
          <w:numId w:val="55"/>
        </w:numPr>
      </w:pPr>
      <w:r>
        <w:rPr/>
        <w:t>Facteurs favorisant l’infection urinaire</w:t>
      </w:r>
    </w:p>
    <w:p>
      <w:pPr>
        <w:numPr>
          <w:ilvl w:val="1"/>
          <w:numId w:val="55"/>
        </w:numPr>
      </w:pPr>
      <w:r>
        <w:rPr/>
        <w:t xml:space="preserve">Chez le </w:t>
      </w:r>
      <w:r>
        <w:rPr/>
        <w:t>nourrisson (</w:t>
      </w:r>
      <w:r>
        <w:rPr/>
        <w:t xml:space="preserve">propreté non acquise) : </w:t>
      </w:r>
    </w:p>
    <w:p>
      <w:pPr>
        <w:numPr>
          <w:ilvl w:val="2"/>
          <w:numId w:val="55"/>
        </w:numPr>
      </w:pPr>
      <w:r>
        <w:rPr/>
        <w:t>Couche</w:t>
      </w:r>
    </w:p>
    <w:p>
      <w:pPr>
        <w:numPr>
          <w:ilvl w:val="2"/>
          <w:numId w:val="55"/>
        </w:numPr>
      </w:pPr>
      <w:r>
        <w:rPr/>
        <w:t>Immaturité vésicale</w:t>
      </w:r>
    </w:p>
    <w:p>
      <w:pPr>
        <w:numPr>
          <w:ilvl w:val="2"/>
          <w:numId w:val="55"/>
        </w:numPr>
      </w:pPr>
      <w:r>
        <w:rPr/>
        <w:t>Prépuce étroit</w:t>
      </w:r>
    </w:p>
    <w:p>
      <w:pPr>
        <w:numPr>
          <w:ilvl w:val="2"/>
          <w:numId w:val="55"/>
        </w:numPr>
      </w:pPr>
      <w:r>
        <w:rPr/>
        <w:t>Exonérations fréquentes</w:t>
      </w:r>
      <w:r>
        <w:rPr/>
        <w:br/>
      </w:r>
    </w:p>
    <w:p>
      <w:pPr>
        <w:numPr>
          <w:ilvl w:val="1"/>
          <w:numId w:val="55"/>
        </w:numPr>
      </w:pPr>
      <w:r>
        <w:rPr/>
        <w:t xml:space="preserve">Chez </w:t>
      </w:r>
      <w:r>
        <w:rPr/>
        <w:t>l’enfant (</w:t>
      </w:r>
      <w:r>
        <w:rPr/>
        <w:t xml:space="preserve">propreté acquise) : </w:t>
      </w:r>
    </w:p>
    <w:p>
      <w:pPr>
        <w:numPr>
          <w:ilvl w:val="2"/>
          <w:numId w:val="55"/>
        </w:numPr>
      </w:pPr>
      <w:r>
        <w:rPr/>
        <w:t>Trouble mictionnel</w:t>
      </w:r>
    </w:p>
    <w:p>
      <w:pPr>
        <w:numPr>
          <w:ilvl w:val="2"/>
          <w:numId w:val="55"/>
        </w:numPr>
      </w:pPr>
      <w:r>
        <w:rPr/>
        <w:t>Vulvite</w:t>
      </w:r>
    </w:p>
    <w:p>
      <w:pPr>
        <w:numPr>
          <w:ilvl w:val="2"/>
          <w:numId w:val="55"/>
        </w:numPr>
      </w:pPr>
      <w:r>
        <w:rPr/>
        <w:t xml:space="preserve">Rétention </w:t>
      </w:r>
      <w:r>
        <w:rPr/>
        <w:t>stercorale (</w:t>
      </w:r>
      <w:r>
        <w:rPr>
          <w:i/>
        </w:rPr>
        <w:t>constipation chronique)</w:t>
      </w:r>
    </w:p>
    <w:p>
      <w:pPr>
        <w:numPr>
          <w:ilvl w:val="2"/>
          <w:numId w:val="55"/>
        </w:numPr>
      </w:pPr>
      <w:r>
        <w:rPr/>
        <w:t>Oxyurose</w:t>
      </w:r>
    </w:p>
    <w:p>
      <w:pPr>
        <w:numPr>
          <w:ilvl w:val="2"/>
          <w:numId w:val="55"/>
        </w:numPr>
      </w:pPr>
      <w:r>
        <w:rPr/>
        <w:t>Hygiène défectueuse</w:t>
      </w:r>
      <w:r>
        <w:rPr/>
        <w:br/>
      </w:r>
    </w:p>
    <w:p>
      <w:pPr>
        <w:numPr>
          <w:ilvl w:val="1"/>
          <w:numId w:val="55"/>
        </w:numPr>
      </w:pPr>
      <w:r>
        <w:rPr/>
        <w:t>A tout âge :</w:t>
      </w:r>
    </w:p>
    <w:p>
      <w:pPr>
        <w:numPr>
          <w:ilvl w:val="2"/>
          <w:numId w:val="55"/>
        </w:numPr>
      </w:pPr>
      <w:r>
        <w:rPr/>
        <w:t>Sondage vésical</w:t>
      </w:r>
    </w:p>
    <w:p>
      <w:pPr>
        <w:numPr>
          <w:ilvl w:val="2"/>
          <w:numId w:val="55"/>
        </w:numPr>
      </w:pPr>
      <w:r>
        <w:rPr/>
        <w:t>Terrain immunodéprimé</w:t>
      </w:r>
    </w:p>
    <w:p>
      <w:pPr>
        <w:numPr>
          <w:ilvl w:val="2"/>
          <w:numId w:val="55"/>
        </w:numPr>
      </w:pPr>
      <w:r>
        <w:rPr/>
        <w:t>Dérivation urinaire</w:t>
      </w:r>
    </w:p>
    <w:p>
      <w:pPr/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>Diagnostic positif</w:t>
      </w:r>
    </w:p>
    <w:p>
      <w:pPr>
        <w:pStyle w:val="Heading4"/>
      </w:pPr>
      <w:r>
        <w:rPr/>
        <w:t>Examen des urines</w:t>
      </w:r>
    </w:p>
    <w:p>
      <w:pPr>
        <w:pStyle w:val="Heading5"/>
      </w:pPr>
      <w:r>
        <w:rPr/>
        <w:t>Modalités de recueil des urines</w:t>
      </w:r>
    </w:p>
    <w:p>
      <w:pPr>
        <w:numPr>
          <w:ilvl w:val="2"/>
          <w:numId w:val="56"/>
        </w:numPr>
      </w:pPr>
      <w:r>
        <w:rPr/>
        <w:t>Après toilette locale</w:t>
      </w:r>
    </w:p>
    <w:p>
      <w:pPr>
        <w:numPr>
          <w:ilvl w:val="2"/>
          <w:numId w:val="56"/>
        </w:numPr>
      </w:pPr>
      <w:r>
        <w:rPr/>
        <w:t xml:space="preserve">Par recueil du milieu de jet </w:t>
      </w:r>
      <w:r>
        <w:rPr>
          <w:i/>
        </w:rPr>
        <w:t>si possible</w:t>
      </w:r>
    </w:p>
    <w:p>
      <w:pPr>
        <w:numPr>
          <w:ilvl w:val="2"/>
          <w:numId w:val="56"/>
        </w:numPr>
      </w:pPr>
      <w:r>
        <w:rPr/>
        <w:t>Par un collecteur stérile (</w:t>
      </w:r>
      <w:r>
        <w:rPr>
          <w:i/>
        </w:rPr>
        <w:t>pipicol</w:t>
      </w:r>
      <w:r>
        <w:rPr>
          <w:i/>
        </w:rPr>
        <w:t xml:space="preserve">) </w:t>
      </w:r>
      <w:r>
        <w:rPr/>
        <w:t xml:space="preserve">changé toutes les 30 minutes </w:t>
      </w:r>
      <w:r>
        <w:rPr>
          <w:i/>
        </w:rPr>
        <w:t>pour éviter toute souillure</w:t>
      </w:r>
    </w:p>
    <w:p>
      <w:pPr>
        <w:numPr>
          <w:ilvl w:val="2"/>
          <w:numId w:val="56"/>
        </w:numPr>
      </w:pPr>
      <w:r>
        <w:rPr/>
        <w:t>Voire par ponction sus-pubienne</w:t>
      </w:r>
      <w:r>
        <w:rPr/>
        <w:br/>
      </w:r>
    </w:p>
    <w:p>
      <w:pPr>
        <w:pStyle w:val="Heading5"/>
      </w:pPr>
      <w:r>
        <w:rPr/>
        <w:t xml:space="preserve">Bandelette réactive : recherche de </w:t>
      </w:r>
      <w:r>
        <w:rPr/>
        <w:t>leucocytes et nitrites</w:t>
      </w:r>
    </w:p>
    <w:p>
      <w:pPr>
        <w:numPr>
          <w:ilvl w:val="2"/>
          <w:numId w:val="56"/>
        </w:numPr>
      </w:pPr>
      <w:r>
        <w:rPr/>
        <w:t>Si positive : confirme théoriquement le diagnostic clinique (70%)</w:t>
      </w:r>
    </w:p>
    <w:p>
      <w:pPr>
        <w:numPr>
          <w:ilvl w:val="2"/>
          <w:numId w:val="56"/>
        </w:numPr>
      </w:pPr>
      <w:r>
        <w:rPr/>
        <w:t>Si négative : absence d’infection urinaire (100%), sauf chez le nouveau-</w:t>
      </w:r>
      <w:r>
        <w:rPr/>
        <w:t>né (</w:t>
      </w:r>
      <w:r>
        <w:rPr>
          <w:i/>
        </w:rPr>
        <w:t>tout de suite ECBU, sans passer par la bandelette urinaire)</w:t>
      </w:r>
    </w:p>
    <w:p>
      <w:pPr>
        <w:pStyle w:val="Heading5"/>
      </w:pPr>
      <w:r>
        <w:rPr/>
        <w:t>ECBU</w:t>
      </w:r>
    </w:p>
    <w:p>
      <w:pPr>
        <w:numPr>
          <w:ilvl w:val="2"/>
          <w:numId w:val="56"/>
        </w:numPr>
      </w:pPr>
      <w:r>
        <w:rPr/>
        <w:t>Indispensable pour confirmer le diagnostic et adapter le traitement antibiotique</w:t>
      </w:r>
    </w:p>
    <w:p>
      <w:pPr>
        <w:numPr>
          <w:ilvl w:val="2"/>
          <w:numId w:val="56"/>
        </w:numPr>
      </w:pPr>
      <w:r>
        <w:rPr/>
        <w:t>Confirmation diagnostic = association</w:t>
      </w:r>
    </w:p>
    <w:p>
      <w:pPr>
        <w:numPr>
          <w:ilvl w:val="3"/>
          <w:numId w:val="56"/>
        </w:numPr>
      </w:pPr>
      <w:r>
        <w:rPr>
          <w:b/>
        </w:rPr>
        <w:t>Leucocyturie &gt; 10</w:t>
      </w:r>
      <w:r>
        <w:rPr>
          <w:b/>
        </w:rPr>
        <w:t xml:space="preserve">4 </w:t>
      </w:r>
      <w:r>
        <w:rPr>
          <w:b/>
        </w:rPr>
        <w:t xml:space="preserve">GB/ml </w:t>
      </w:r>
      <w:r>
        <w:rPr/>
        <w:t>(leucocytes altérés)</w:t>
      </w:r>
    </w:p>
    <w:p>
      <w:pPr>
        <w:numPr>
          <w:ilvl w:val="3"/>
          <w:numId w:val="56"/>
        </w:numPr>
      </w:pPr>
      <w:r>
        <w:rPr>
          <w:b/>
        </w:rPr>
        <w:t xml:space="preserve">Et bactériurie </w:t>
      </w:r>
      <w:r>
        <w:rPr>
          <w:b/>
        </w:rPr>
      </w:r>
      <w:r>
        <w:rPr/>
        <w:t>10</w:t>
      </w:r>
      <w:r>
        <w:rPr/>
        <w:t xml:space="preserve">5 </w:t>
      </w:r>
      <w:r>
        <w:rPr/>
        <w:t>UFC/ml</w:t>
      </w:r>
    </w:p>
    <w:p>
      <w:pPr>
        <w:numPr>
          <w:ilvl w:val="3"/>
          <w:numId w:val="56"/>
        </w:numPr>
      </w:pPr>
      <w:r>
        <w:rPr/>
        <w:t>Contrôle ECBU : non justifié</w:t>
      </w:r>
      <w:r>
        <w:rPr/>
        <w:br/>
      </w:r>
    </w:p>
    <w:p>
      <w:pPr>
        <w:pStyle w:val="Heading5"/>
      </w:pPr>
      <w:r>
        <w:rPr/>
        <w:t>Autres examens</w:t>
      </w:r>
    </w:p>
    <w:p>
      <w:pPr>
        <w:numPr>
          <w:ilvl w:val="2"/>
          <w:numId w:val="56"/>
        </w:numPr>
      </w:pPr>
      <w:r>
        <w:rPr/>
        <w:t>Echographie de l’appareil urinaire : si 1ère épisode d’infection urinaire, nécessaire pour rechercher des malformations des voies urinaires</w:t>
      </w:r>
    </w:p>
    <w:p>
      <w:pPr>
        <w:numPr>
          <w:ilvl w:val="2"/>
          <w:numId w:val="56"/>
        </w:numPr>
      </w:pPr>
      <w:r>
        <w:rPr/>
        <w:t>Marqueurs inflammatoires (CRP, PCT) : élevés si atteinte parenchymateuse</w:t>
      </w:r>
    </w:p>
    <w:p>
      <w:pPr>
        <w:numPr>
          <w:ilvl w:val="2"/>
          <w:numId w:val="56"/>
        </w:numPr>
      </w:pPr>
      <w:r>
        <w:rPr/>
        <w:t>Hémoculture :</w:t>
      </w:r>
      <w:r>
        <w:rPr/>
        <w:t xml:space="preserve"> non systématique, car sa positivité ne modifie ni le traitement ni le pronostic</w:t>
      </w:r>
    </w:p>
    <w:p>
      <w:pPr/>
    </w:p>
    <w:p>
      <w:pPr>
        <w:pStyle w:val="Heading4"/>
      </w:pPr>
      <w:r>
        <w:rPr/>
        <w:t>Diagnostic topographique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715"/>
          </w:tcPr>
          <w:p/>
          <w:p>
            <w:pPr>
              <w:jc w:val="center"/>
            </w:pPr>
            <w:r>
              <w:rPr>
                <w:color w:val="FFFFFF"/>
              </w:rPr>
              <w:t>Renseignements</w:t>
            </w:r>
          </w:p>
        </w:tc>
        <w:tc>
          <w:tcPr>
            <w:tcW w:type="dxa" w:w="3715"/>
          </w:tcPr>
          <w:p/>
          <w:p>
            <w:pPr>
              <w:jc w:val="center"/>
            </w:pPr>
            <w:r>
              <w:rPr>
                <w:color w:val="FFFFFF"/>
              </w:rPr>
              <w:t>Renseignements</w:t>
            </w:r>
          </w:p>
        </w:tc>
        <w:tc>
          <w:tcPr>
            <w:tcW w:type="dxa" w:w="2699"/>
          </w:tcPr>
          <w:p/>
          <w:p>
            <w:pPr>
              <w:jc w:val="center"/>
            </w:pPr>
            <w:r>
              <w:rPr>
                <w:color w:val="FFFFFF"/>
              </w:rPr>
              <w:t>Pyélonéphrite aigue</w:t>
            </w:r>
          </w:p>
        </w:tc>
        <w:tc>
          <w:tcPr>
            <w:tcW w:type="dxa" w:w="2828"/>
          </w:tcPr>
          <w:p/>
          <w:p>
            <w:pPr>
              <w:jc w:val="center"/>
            </w:pPr>
            <w:r>
              <w:rPr>
                <w:color w:val="FFFFFF"/>
              </w:rPr>
              <w:t>Cystite</w:t>
            </w:r>
          </w:p>
        </w:tc>
      </w:tr>
      <w:tr>
        <w:tc>
          <w:tcPr>
            <w:tcW w:type="dxa" w:w="1655"/>
          </w:tcPr>
          <w:p/>
          <w:p>
            <w:pPr/>
            <w:r>
              <w:rPr/>
              <w:t xml:space="preserve">Cliniques </w:t>
            </w:r>
          </w:p>
        </w:tc>
        <w:tc>
          <w:tcPr>
            <w:tcW w:type="dxa" w:w="2060"/>
          </w:tcPr>
          <w:p/>
          <w:p>
            <w:pPr>
              <w:numPr>
                <w:ilvl w:val="0"/>
                <w:numId w:val="57"/>
              </w:numPr>
            </w:pPr>
            <w:r>
              <w:rPr/>
              <w:t>Température</w:t>
            </w:r>
          </w:p>
          <w:p>
            <w:pPr>
              <w:numPr>
                <w:ilvl w:val="0"/>
                <w:numId w:val="57"/>
              </w:numPr>
            </w:pPr>
            <w:r>
              <w:rPr/>
              <w:t>Signes généraux</w:t>
            </w:r>
          </w:p>
          <w:p>
            <w:pPr>
              <w:numPr>
                <w:ilvl w:val="0"/>
                <w:numId w:val="57"/>
              </w:numPr>
            </w:pPr>
            <w:r>
              <w:rPr/>
              <w:t>Signes vésicaux</w:t>
            </w:r>
          </w:p>
          <w:p>
            <w:pPr>
              <w:numPr>
                <w:ilvl w:val="0"/>
                <w:numId w:val="57"/>
              </w:numPr>
            </w:pPr>
            <w:r>
              <w:rPr/>
              <w:t xml:space="preserve">Douleurs </w:t>
            </w:r>
            <w:r>
              <w:rPr/>
              <w:br/>
            </w:r>
          </w:p>
          <w:p>
            <w:pPr>
              <w:numPr>
                <w:ilvl w:val="0"/>
                <w:numId w:val="57"/>
              </w:numPr>
            </w:pPr>
            <w:r>
              <w:rPr/>
              <w:t>Palpation lombaire</w:t>
            </w:r>
          </w:p>
        </w:tc>
        <w:tc>
          <w:tcPr>
            <w:tcW w:type="dxa" w:w="2699"/>
          </w:tcPr>
          <w:p/>
          <w:p>
            <w:pPr>
              <w:numPr>
                <w:ilvl w:val="0"/>
                <w:numId w:val="59"/>
              </w:numPr>
            </w:pPr>
            <w:r>
              <w:rPr/>
              <w:t>&gt;38.5</w:t>
            </w:r>
          </w:p>
          <w:p>
            <w:pPr>
              <w:numPr>
                <w:ilvl w:val="0"/>
                <w:numId w:val="59"/>
              </w:numPr>
            </w:pPr>
            <w:r>
              <w:rPr/>
              <w:t>+</w:t>
            </w:r>
            <w:r>
              <w:rPr/>
              <w:br/>
            </w:r>
          </w:p>
          <w:p>
            <w:pPr>
              <w:numPr>
                <w:ilvl w:val="0"/>
                <w:numId w:val="59"/>
              </w:numPr>
            </w:pPr>
            <w:r>
              <w:rPr/>
              <w:t>+</w:t>
            </w:r>
            <w:r>
              <w:rPr/>
              <w:br/>
            </w:r>
          </w:p>
          <w:p>
            <w:pPr>
              <w:numPr>
                <w:ilvl w:val="0"/>
                <w:numId w:val="59"/>
              </w:numPr>
            </w:pPr>
            <w:r>
              <w:rPr/>
              <w:t>Lombo-abdominales</w:t>
            </w:r>
            <w:r>
              <w:rPr/>
              <w:br/>
            </w:r>
          </w:p>
          <w:p>
            <w:pPr>
              <w:numPr>
                <w:ilvl w:val="0"/>
                <w:numId w:val="59"/>
              </w:numPr>
            </w:pPr>
            <w:r>
              <w:rPr/>
              <w:t>Douloureuse</w:t>
            </w:r>
          </w:p>
        </w:tc>
        <w:tc>
          <w:tcPr>
            <w:tcW w:type="dxa" w:w="2828"/>
          </w:tcPr>
          <w:p/>
          <w:p>
            <w:pPr>
              <w:numPr>
                <w:ilvl w:val="0"/>
                <w:numId w:val="60"/>
              </w:numPr>
            </w:pPr>
            <w:r>
              <w:rPr/>
              <w:t>&lt;38°</w:t>
            </w:r>
          </w:p>
          <w:p>
            <w:pPr>
              <w:numPr>
                <w:ilvl w:val="0"/>
                <w:numId w:val="60"/>
              </w:numPr>
            </w:pPr>
            <w:r>
              <w:rPr/>
              <w:t>Absent</w:t>
            </w:r>
            <w:r>
              <w:rPr/>
              <w:br/>
            </w:r>
          </w:p>
          <w:p>
            <w:pPr>
              <w:numPr>
                <w:ilvl w:val="0"/>
                <w:numId w:val="60"/>
              </w:numPr>
            </w:pPr>
            <w:r>
              <w:rPr/>
              <w:t>+++</w:t>
            </w:r>
            <w:r>
              <w:rPr/>
              <w:br/>
            </w:r>
          </w:p>
          <w:p>
            <w:pPr>
              <w:numPr>
                <w:ilvl w:val="0"/>
                <w:numId w:val="60"/>
              </w:numPr>
            </w:pPr>
            <w:r>
              <w:rPr/>
              <w:t>Abdomino-pelviennes</w:t>
            </w:r>
            <w:r>
              <w:rPr/>
              <w:br/>
            </w:r>
          </w:p>
          <w:p>
            <w:pPr>
              <w:numPr>
                <w:ilvl w:val="0"/>
                <w:numId w:val="60"/>
              </w:numPr>
            </w:pPr>
            <w:r>
              <w:rPr/>
              <w:t>Indolore</w:t>
            </w:r>
          </w:p>
        </w:tc>
      </w:tr>
      <w:tr>
        <w:tc>
          <w:tcPr>
            <w:tcW w:type="dxa" w:w="1655"/>
          </w:tcPr>
          <w:p/>
          <w:p>
            <w:pPr/>
            <w:r>
              <w:rPr/>
              <w:t xml:space="preserve">Paracliniques </w:t>
            </w:r>
          </w:p>
        </w:tc>
        <w:tc>
          <w:tcPr>
            <w:tcW w:type="dxa" w:w="2060"/>
          </w:tcPr>
          <w:p/>
          <w:p>
            <w:pPr>
              <w:numPr>
                <w:ilvl w:val="0"/>
                <w:numId w:val="58"/>
              </w:numPr>
            </w:pPr>
            <w:r>
              <w:rPr/>
              <w:t>Hématurie</w:t>
            </w:r>
          </w:p>
          <w:p>
            <w:pPr>
              <w:numPr>
                <w:ilvl w:val="0"/>
                <w:numId w:val="58"/>
              </w:numPr>
            </w:pPr>
            <w:r>
              <w:rPr/>
              <w:t>Protéinurie</w:t>
            </w:r>
          </w:p>
          <w:p>
            <w:pPr>
              <w:numPr>
                <w:ilvl w:val="0"/>
                <w:numId w:val="58"/>
              </w:numPr>
            </w:pPr>
            <w:r>
              <w:rPr/>
              <w:t>CRP</w:t>
            </w:r>
          </w:p>
          <w:p>
            <w:pPr>
              <w:numPr>
                <w:ilvl w:val="0"/>
                <w:numId w:val="58"/>
              </w:numPr>
            </w:pPr>
            <w:r>
              <w:rPr/>
              <w:t>Echographie urinaire</w:t>
            </w:r>
          </w:p>
        </w:tc>
        <w:tc>
          <w:tcPr>
            <w:tcW w:type="dxa" w:w="2699"/>
          </w:tcPr>
          <w:p/>
          <w:p>
            <w:pPr>
              <w:numPr>
                <w:ilvl w:val="0"/>
                <w:numId w:val="61"/>
              </w:numPr>
            </w:pPr>
            <w:r>
              <w:rPr/>
              <w:t>+</w:t>
            </w:r>
          </w:p>
          <w:p>
            <w:pPr>
              <w:numPr>
                <w:ilvl w:val="0"/>
                <w:numId w:val="61"/>
              </w:numPr>
            </w:pPr>
            <w:r>
              <w:rPr/>
              <w:t>+++</w:t>
            </w:r>
          </w:p>
          <w:p>
            <w:pPr>
              <w:numPr>
                <w:ilvl w:val="0"/>
                <w:numId w:val="61"/>
              </w:numPr>
            </w:pPr>
            <w:r>
              <w:rPr/>
              <w:t>Augmenté</w:t>
            </w:r>
          </w:p>
          <w:p>
            <w:pPr>
              <w:numPr>
                <w:ilvl w:val="0"/>
                <w:numId w:val="61"/>
              </w:numPr>
            </w:pPr>
            <w:r>
              <w:rPr/>
              <w:t>Volume rénal augmenté, parois pyéliques épaissies</w:t>
            </w:r>
          </w:p>
        </w:tc>
        <w:tc>
          <w:tcPr>
            <w:tcW w:type="dxa" w:w="2828"/>
          </w:tcPr>
          <w:p/>
          <w:p>
            <w:pPr>
              <w:numPr>
                <w:ilvl w:val="0"/>
                <w:numId w:val="62"/>
              </w:numPr>
            </w:pPr>
            <w:r>
              <w:rPr/>
              <w:t>+++</w:t>
            </w:r>
          </w:p>
          <w:p>
            <w:pPr>
              <w:numPr>
                <w:ilvl w:val="0"/>
                <w:numId w:val="62"/>
              </w:numPr>
            </w:pPr>
            <w:r>
              <w:rPr/>
              <w:t>+</w:t>
            </w:r>
          </w:p>
          <w:p>
            <w:pPr>
              <w:numPr>
                <w:ilvl w:val="0"/>
                <w:numId w:val="62"/>
              </w:numPr>
            </w:pPr>
            <w:r>
              <w:rPr/>
              <w:t>Normale</w:t>
            </w:r>
          </w:p>
          <w:p>
            <w:pPr>
              <w:numPr>
                <w:ilvl w:val="0"/>
                <w:numId w:val="62"/>
              </w:numPr>
            </w:pPr>
            <w:r>
              <w:rPr/>
              <w:t>Reins normaux</w:t>
            </w:r>
            <w:r>
              <w:rPr/>
              <w:br/>
              <w:t>paroi vésicale épaissie</w:t>
            </w:r>
          </w:p>
        </w:tc>
      </w:tr>
    </w:tbl>
    <w:p>
      <w:pPr/>
    </w:p>
    <w:p>
      <w:pPr>
        <w:pStyle w:val="Heading5"/>
      </w:pPr>
      <w:r>
        <w:rPr/>
        <w:t>Cystite :</w:t>
      </w:r>
    </w:p>
    <w:p>
      <w:pPr>
        <w:numPr>
          <w:ilvl w:val="1"/>
          <w:numId w:val="63"/>
        </w:numPr>
      </w:pPr>
      <w:r>
        <w:rPr/>
        <w:t>Rare chez l’enfant</w:t>
      </w:r>
    </w:p>
    <w:p>
      <w:pPr>
        <w:numPr>
          <w:ilvl w:val="1"/>
          <w:numId w:val="63"/>
        </w:numPr>
      </w:pPr>
      <w:r>
        <w:rPr/>
        <w:t>Si existe, révèle ou complique un trouble mictionnel</w:t>
      </w:r>
    </w:p>
    <w:p>
      <w:pPr>
        <w:numPr>
          <w:ilvl w:val="1"/>
          <w:numId w:val="63"/>
        </w:numPr>
      </w:pPr>
      <w:r>
        <w:rPr/>
        <w:t>Volontiers</w:t>
      </w:r>
      <w:r>
        <w:rPr/>
        <w:t xml:space="preserve"> récidivant</w:t>
      </w:r>
    </w:p>
    <w:p>
      <w:pPr>
        <w:numPr>
          <w:ilvl w:val="1"/>
          <w:numId w:val="63"/>
        </w:numPr>
      </w:pPr>
      <w:r>
        <w:rPr/>
        <w:t xml:space="preserve">Si </w:t>
      </w:r>
      <w:r>
        <w:rPr/>
        <w:t>récidivant :</w:t>
      </w:r>
      <w:r>
        <w:rPr/>
        <w:t xml:space="preserve"> rechercher des fuites diurnes d’urine, jet anormal, encoprésie</w:t>
      </w:r>
      <w:r>
        <w:rPr/>
        <w:br/>
      </w:r>
    </w:p>
    <w:p>
      <w:pPr>
        <w:pStyle w:val="Heading5"/>
      </w:pPr>
      <w:r>
        <w:rPr/>
        <w:t>Pyélonéphrite aiguë</w:t>
      </w:r>
    </w:p>
    <w:p>
      <w:pPr>
        <w:numPr>
          <w:ilvl w:val="1"/>
          <w:numId w:val="63"/>
        </w:numPr>
      </w:pPr>
      <w:r>
        <w:rPr/>
        <w:t>2 enjeux</w:t>
      </w:r>
    </w:p>
    <w:p>
      <w:pPr>
        <w:numPr>
          <w:ilvl w:val="2"/>
          <w:numId w:val="63"/>
        </w:numPr>
      </w:pPr>
      <w:r>
        <w:rPr/>
        <w:t>Révélation possible d’une malformation</w:t>
      </w:r>
    </w:p>
    <w:p>
      <w:pPr>
        <w:numPr>
          <w:ilvl w:val="2"/>
          <w:numId w:val="63"/>
        </w:numPr>
      </w:pPr>
      <w:r>
        <w:rPr/>
        <w:t>Risque de séquelles (</w:t>
      </w:r>
      <w:r>
        <w:rPr>
          <w:i/>
        </w:rPr>
        <w:t>ex:</w:t>
      </w:r>
      <w:r>
        <w:rPr>
          <w:i/>
        </w:rPr>
        <w:t xml:space="preserve"> HTA à l’âge adulte... )</w:t>
      </w:r>
      <w:r>
        <w:rPr>
          <w:i/>
        </w:rPr>
        <w:br/>
      </w:r>
    </w:p>
    <w:p>
      <w:pPr>
        <w:pStyle w:val="Heading6"/>
      </w:pPr>
      <w:r>
        <w:rPr/>
        <w:t>Chez le nouveau-né</w:t>
      </w:r>
    </w:p>
    <w:p>
      <w:pPr>
        <w:numPr>
          <w:ilvl w:val="2"/>
          <w:numId w:val="63"/>
        </w:numPr>
      </w:pPr>
      <w:r>
        <w:rPr/>
        <w:t>Risque d’insuffisance rénale car atteinte bilatérale par reflux massif d’urine infectée</w:t>
      </w:r>
    </w:p>
    <w:p>
      <w:pPr>
        <w:numPr>
          <w:ilvl w:val="2"/>
          <w:numId w:val="63"/>
        </w:numPr>
      </w:pPr>
      <w:r>
        <w:rPr/>
        <w:t>Souvent :</w:t>
      </w:r>
    </w:p>
    <w:p>
      <w:pPr>
        <w:numPr>
          <w:ilvl w:val="3"/>
          <w:numId w:val="63"/>
        </w:numPr>
      </w:pPr>
      <w:r>
        <w:rPr/>
        <w:t>Syndrome</w:t>
      </w:r>
      <w:r>
        <w:rPr/>
        <w:t xml:space="preserve"> infectieux grave</w:t>
      </w:r>
    </w:p>
    <w:p>
      <w:pPr>
        <w:numPr>
          <w:ilvl w:val="3"/>
          <w:numId w:val="63"/>
        </w:numPr>
      </w:pPr>
      <w:r>
        <w:rPr/>
        <w:t>Troubles digestifs (vomissements, diarrhée)</w:t>
      </w:r>
    </w:p>
    <w:p>
      <w:pPr>
        <w:numPr>
          <w:ilvl w:val="3"/>
          <w:numId w:val="63"/>
        </w:numPr>
      </w:pPr>
      <w:r>
        <w:rPr/>
        <w:t>Déshydratation (</w:t>
      </w:r>
      <w:r>
        <w:rPr>
          <w:i/>
        </w:rPr>
        <w:t>complication des troubles digestifs)</w:t>
      </w:r>
    </w:p>
    <w:p>
      <w:pPr>
        <w:numPr>
          <w:ilvl w:val="3"/>
          <w:numId w:val="63"/>
        </w:numPr>
      </w:pPr>
      <w:r>
        <w:rPr/>
        <w:t xml:space="preserve">Perturbations </w:t>
      </w:r>
      <w:r>
        <w:rPr/>
        <w:t>ioniques</w:t>
      </w:r>
      <w:r>
        <w:rPr/>
        <w:t xml:space="preserve"> (</w:t>
      </w:r>
      <w:r>
        <w:rPr>
          <w:i/>
        </w:rPr>
        <w:t>à cause de la déshydratation)</w:t>
      </w:r>
    </w:p>
    <w:p>
      <w:pPr>
        <w:numPr>
          <w:ilvl w:val="3"/>
          <w:numId w:val="63"/>
        </w:numPr>
      </w:pPr>
      <w:r>
        <w:rPr/>
        <w:t>Parfois ictère</w:t>
      </w:r>
    </w:p>
    <w:p>
      <w:pPr>
        <w:numPr>
          <w:ilvl w:val="2"/>
          <w:numId w:val="63"/>
        </w:numPr>
      </w:pPr>
      <w:r>
        <w:rPr/>
        <w:t>La recherche d’infection urinaire fait partie du bilan systématique de tout nouveau-né infecté</w:t>
      </w:r>
      <w:r>
        <w:rPr/>
        <w:br/>
      </w:r>
    </w:p>
    <w:p>
      <w:pPr>
        <w:pStyle w:val="Heading6"/>
      </w:pPr>
      <w:r>
        <w:rPr/>
        <w:t>Chez le nourrisson</w:t>
      </w:r>
    </w:p>
    <w:p>
      <w:pPr>
        <w:numPr>
          <w:ilvl w:val="2"/>
          <w:numId w:val="63"/>
        </w:numPr>
      </w:pPr>
      <w:r>
        <w:rPr/>
        <w:t>Hyperthermie isolée, +/- bien tolérée, parfois crise convulsive</w:t>
      </w:r>
    </w:p>
    <w:p>
      <w:pPr>
        <w:numPr>
          <w:ilvl w:val="2"/>
          <w:numId w:val="63"/>
        </w:numPr>
      </w:pPr>
      <w:r>
        <w:rPr/>
        <w:t>Parfois, signes digestifs au premier plan (vomissements, douleurs abdominales, diarrhée) -&gt; risque de retard du diagnostic</w:t>
      </w:r>
    </w:p>
    <w:p>
      <w:pPr>
        <w:numPr>
          <w:ilvl w:val="2"/>
          <w:numId w:val="63"/>
        </w:numPr>
      </w:pPr>
      <w:r>
        <w:rPr/>
        <w:t xml:space="preserve">Douleur à la palpation </w:t>
      </w:r>
      <w:r>
        <w:rPr/>
        <w:t>rénale</w:t>
      </w:r>
    </w:p>
    <w:p>
      <w:pPr>
        <w:numPr>
          <w:ilvl w:val="2"/>
          <w:numId w:val="63"/>
        </w:numPr>
      </w:pPr>
      <w:r>
        <w:rPr/>
        <w:t>Si uropathie avec atteinte tubulaire associé -&gt; risque de troubles métaboliques (hyponatrémie, acidose)</w:t>
      </w:r>
      <w:r>
        <w:rPr/>
        <w:br/>
      </w:r>
    </w:p>
    <w:p>
      <w:pPr>
        <w:pStyle w:val="Heading6"/>
      </w:pPr>
      <w:r>
        <w:rPr/>
        <w:t>Chez l’enfant</w:t>
      </w:r>
    </w:p>
    <w:p>
      <w:pPr>
        <w:numPr>
          <w:ilvl w:val="2"/>
          <w:numId w:val="63"/>
        </w:numPr>
      </w:pPr>
      <w:r>
        <w:rPr/>
        <w:t>Douleurs abdominales +++, avec projection ombilicale fréquente ou douleurs lombaires</w:t>
      </w:r>
    </w:p>
    <w:p>
      <w:pPr>
        <w:numPr>
          <w:ilvl w:val="2"/>
          <w:numId w:val="63"/>
        </w:numPr>
      </w:pPr>
      <w:r>
        <w:rPr/>
        <w:t>Signes vésicaux moindres</w:t>
      </w:r>
    </w:p>
    <w:p>
      <w:pPr>
        <w:numPr>
          <w:ilvl w:val="2"/>
          <w:numId w:val="63"/>
        </w:numPr>
      </w:pPr>
      <w:r>
        <w:rPr/>
        <w:t>Fièvre élevée avec frissons (</w:t>
      </w:r>
      <w:r>
        <w:rPr>
          <w:i/>
        </w:rPr>
        <w:t>presque mal tolérée)</w:t>
      </w:r>
      <w:r>
        <w:rPr>
          <w:i/>
        </w:rPr>
        <w:br/>
      </w:r>
    </w:p>
    <w:p>
      <w:pPr>
        <w:pStyle w:val="Heading6"/>
      </w:pPr>
      <w:r>
        <w:rPr/>
        <w:t>Pyélonéphrite décapitée</w:t>
      </w:r>
      <w:r>
        <w:rPr/>
      </w:r>
      <w:r>
        <w:rPr/>
        <w:t xml:space="preserve"> </w:t>
      </w:r>
    </w:p>
    <w:p>
      <w:pPr>
        <w:numPr>
          <w:ilvl w:val="2"/>
          <w:numId w:val="63"/>
        </w:numPr>
      </w:pPr>
      <w:r>
        <w:rPr/>
        <w:t>Fièvre isolée</w:t>
      </w:r>
    </w:p>
    <w:p>
      <w:pPr>
        <w:numPr>
          <w:ilvl w:val="2"/>
          <w:numId w:val="63"/>
        </w:numPr>
      </w:pPr>
      <w:r>
        <w:rPr/>
        <w:t>Persistance d’une leucocyturie aseptique ou élévation de la CRP</w:t>
      </w:r>
    </w:p>
    <w:p>
      <w:pPr>
        <w:numPr>
          <w:ilvl w:val="2"/>
          <w:numId w:val="63"/>
        </w:numPr>
      </w:pPr>
      <w:r>
        <w:rPr/>
        <w:t>Echographie rénale : augmentation du volume rénal ou épaississement des parois pyéliques</w:t>
      </w:r>
    </w:p>
    <w:p>
      <w:pPr>
        <w:numPr>
          <w:ilvl w:val="2"/>
          <w:numId w:val="63"/>
        </w:numPr>
      </w:pPr>
      <w:r>
        <w:rPr/>
        <w:t>Faire la scintigraphie</w:t>
      </w:r>
    </w:p>
    <w:p>
      <w:pPr/>
    </w:p>
    <w:p>
      <w:pPr>
        <w:pStyle w:val="Heading4"/>
      </w:pPr>
      <w:r>
        <w:rPr/>
        <w:t>Diagnostic étiologique</w:t>
      </w:r>
    </w:p>
    <w:p>
      <w:pPr>
        <w:pStyle w:val="Heading5"/>
      </w:pPr>
      <w:r>
        <w:rPr/>
        <w:t>Cystite :</w:t>
      </w:r>
    </w:p>
    <w:p>
      <w:pPr>
        <w:numPr>
          <w:ilvl w:val="1"/>
          <w:numId w:val="64"/>
        </w:numPr>
      </w:pPr>
      <w:r>
        <w:rPr/>
        <w:t>Surtout bactérienne</w:t>
      </w:r>
    </w:p>
    <w:p>
      <w:pPr>
        <w:numPr>
          <w:ilvl w:val="1"/>
          <w:numId w:val="64"/>
        </w:numPr>
      </w:pPr>
      <w:r>
        <w:rPr/>
        <w:t xml:space="preserve">Parfois, cystite interstitielle d’origine virale (adénovirus, </w:t>
      </w:r>
      <w:r>
        <w:rPr/>
        <w:t>polyomavirus</w:t>
      </w:r>
      <w:r>
        <w:rPr/>
        <w:t>)</w:t>
      </w:r>
    </w:p>
    <w:p>
      <w:pPr>
        <w:numPr>
          <w:ilvl w:val="2"/>
          <w:numId w:val="64"/>
        </w:numPr>
      </w:pPr>
      <w:r>
        <w:rPr/>
        <w:t>Présentation bruyante : douleurs mictionnelles intenses, hématurie macroscopique</w:t>
      </w:r>
    </w:p>
    <w:p>
      <w:pPr>
        <w:numPr>
          <w:ilvl w:val="2"/>
          <w:numId w:val="64"/>
        </w:numPr>
      </w:pPr>
      <w:r>
        <w:rPr/>
        <w:t>ECBU :</w:t>
      </w:r>
      <w:r>
        <w:rPr/>
        <w:t xml:space="preserve"> leucocyturie aseptique </w:t>
      </w:r>
    </w:p>
    <w:p>
      <w:pPr>
        <w:numPr>
          <w:ilvl w:val="2"/>
          <w:numId w:val="64"/>
        </w:numPr>
      </w:pPr>
      <w:r>
        <w:rPr/>
        <w:t>Echographie :</w:t>
      </w:r>
      <w:r>
        <w:rPr/>
        <w:t xml:space="preserve"> épaississement de la paroi vésicale</w:t>
      </w:r>
      <w:r>
        <w:rPr/>
        <w:br/>
      </w:r>
    </w:p>
    <w:p>
      <w:pPr>
        <w:pStyle w:val="Heading5"/>
      </w:pPr>
      <w:r>
        <w:rPr/>
        <w:t xml:space="preserve">Pyélonéphrite </w:t>
      </w:r>
      <w:r>
        <w:rPr/>
        <w:t>aiguë:</w:t>
      </w:r>
      <w:r>
        <w:rPr/>
        <w:t xml:space="preserve"> bactérienne +++</w:t>
      </w:r>
    </w:p>
    <w:p>
      <w:pPr>
        <w:numPr>
          <w:ilvl w:val="1"/>
          <w:numId w:val="64"/>
        </w:numPr>
      </w:pPr>
      <w:r>
        <w:rPr>
          <w:i/>
        </w:rPr>
        <w:t xml:space="preserve">Escherichia coli </w:t>
      </w:r>
      <w:r>
        <w:rPr/>
        <w:t>(75%)</w:t>
      </w:r>
    </w:p>
    <w:p>
      <w:pPr>
        <w:numPr>
          <w:ilvl w:val="1"/>
          <w:numId w:val="64"/>
        </w:numPr>
      </w:pPr>
      <w:r>
        <w:rPr>
          <w:i/>
        </w:rPr>
        <w:t>Proteus</w:t>
      </w:r>
      <w:r>
        <w:rPr>
          <w:i/>
        </w:rPr>
        <w:t xml:space="preserve"> mirabilis</w:t>
      </w:r>
    </w:p>
    <w:p>
      <w:pPr>
        <w:numPr>
          <w:ilvl w:val="1"/>
          <w:numId w:val="64"/>
        </w:numPr>
      </w:pPr>
      <w:r>
        <w:rPr>
          <w:i/>
        </w:rPr>
        <w:t xml:space="preserve">Klebsiella </w:t>
      </w:r>
      <w:r>
        <w:rPr>
          <w:i/>
        </w:rPr>
        <w:br/>
      </w:r>
    </w:p>
    <w:p>
      <w:pPr>
        <w:numPr>
          <w:ilvl w:val="1"/>
          <w:numId w:val="64"/>
        </w:numPr>
      </w:pPr>
      <w:r>
        <w:rPr>
          <w:i/>
        </w:rPr>
        <w:t xml:space="preserve">Staphylococcus </w:t>
      </w:r>
      <w:r>
        <w:rPr>
          <w:i/>
        </w:rPr>
        <w:t>saprophyticus</w:t>
      </w:r>
      <w:r>
        <w:rPr/>
        <w:t xml:space="preserve">, </w:t>
      </w:r>
      <w:r>
        <w:rPr/>
        <w:t>cocci</w:t>
      </w:r>
      <w:r>
        <w:rPr/>
        <w:t xml:space="preserve"> à gram-positif...</w:t>
      </w:r>
    </w:p>
    <w:p>
      <w:pPr/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Buts :</w:t>
      </w:r>
    </w:p>
    <w:p>
      <w:pPr>
        <w:numPr>
          <w:ilvl w:val="1"/>
          <w:numId w:val="65"/>
        </w:numPr>
      </w:pPr>
      <w:r>
        <w:rPr/>
        <w:t>Stériliser l’urine</w:t>
      </w:r>
    </w:p>
    <w:p>
      <w:pPr>
        <w:numPr>
          <w:ilvl w:val="1"/>
          <w:numId w:val="65"/>
        </w:numPr>
      </w:pPr>
      <w:r>
        <w:rPr/>
        <w:t>Eviter les complications à court terme</w:t>
      </w:r>
    </w:p>
    <w:p>
      <w:pPr>
        <w:numPr>
          <w:ilvl w:val="1"/>
          <w:numId w:val="65"/>
        </w:numPr>
      </w:pPr>
      <w:r>
        <w:rPr/>
        <w:t>Prévenir les récidives et les séquelles</w:t>
      </w:r>
      <w:r>
        <w:rPr/>
        <w:br/>
      </w:r>
    </w:p>
    <w:p>
      <w:pPr>
        <w:pStyle w:val="Heading3"/>
      </w:pPr>
      <w:r>
        <w:rPr/>
        <w:t>Moyens</w:t>
      </w:r>
    </w:p>
    <w:p>
      <w:pPr>
        <w:numPr>
          <w:ilvl w:val="1"/>
          <w:numId w:val="65"/>
        </w:numPr>
      </w:pPr>
      <w:r>
        <w:rPr/>
        <w:t>Hospitalisation (</w:t>
      </w:r>
      <w:r>
        <w:rPr>
          <w:i/>
        </w:rPr>
        <w:t>de règle pour la PNA du nouveau-né)</w:t>
      </w:r>
    </w:p>
    <w:p>
      <w:pPr>
        <w:numPr>
          <w:ilvl w:val="1"/>
          <w:numId w:val="65"/>
        </w:numPr>
      </w:pPr>
      <w:r>
        <w:rPr/>
        <w:t>Antibiotique</w:t>
      </w:r>
    </w:p>
    <w:p>
      <w:pPr>
        <w:numPr>
          <w:ilvl w:val="2"/>
          <w:numId w:val="65"/>
        </w:numPr>
      </w:pPr>
      <w:r>
        <w:rPr/>
        <w:t xml:space="preserve">Traitement probabiliste </w:t>
      </w:r>
      <w:r>
        <w:rPr>
          <w:i/>
        </w:rPr>
        <w:t>adapté ultérieurement à l’antibiogramme</w:t>
      </w:r>
    </w:p>
    <w:p>
      <w:pPr>
        <w:numPr>
          <w:ilvl w:val="3"/>
          <w:numId w:val="65"/>
        </w:numPr>
      </w:pPr>
      <w:r>
        <w:rPr/>
        <w:t>C3G : 50mg/kg/j en une injection</w:t>
      </w:r>
    </w:p>
    <w:p>
      <w:pPr>
        <w:numPr>
          <w:ilvl w:val="3"/>
          <w:numId w:val="65"/>
        </w:numPr>
      </w:pPr>
      <w:r>
        <w:rPr/>
        <w:t>+ un aminoside pendant 48h</w:t>
      </w:r>
    </w:p>
    <w:p>
      <w:pPr>
        <w:numPr>
          <w:ilvl w:val="3"/>
          <w:numId w:val="65"/>
        </w:numPr>
      </w:pPr>
      <w:r>
        <w:rPr/>
        <w:t>Durée totale : 10 à 15 jours</w:t>
      </w:r>
    </w:p>
    <w:p>
      <w:pPr>
        <w:numPr>
          <w:ilvl w:val="2"/>
          <w:numId w:val="65"/>
        </w:numPr>
      </w:pPr>
      <w:r>
        <w:rPr/>
        <w:t xml:space="preserve">Antibioprophylaxie : </w:t>
      </w:r>
      <w:r>
        <w:rPr/>
        <w:t>Cefaclor</w:t>
      </w:r>
      <w:r>
        <w:rPr/>
        <w:t>, Cotrimoxazole</w:t>
      </w:r>
    </w:p>
    <w:p>
      <w:pPr>
        <w:numPr>
          <w:ilvl w:val="3"/>
          <w:numId w:val="65"/>
        </w:numPr>
      </w:pPr>
      <w:r>
        <w:rPr/>
        <w:t>Prise unique le soir, à un tiers de la posologie curative</w:t>
      </w:r>
    </w:p>
    <w:p>
      <w:pPr>
        <w:numPr>
          <w:ilvl w:val="1"/>
          <w:numId w:val="65"/>
        </w:numPr>
      </w:pPr>
      <w:r>
        <w:rPr/>
        <w:t>Cystographie : à la recherche de reflux vésico-urétéral</w:t>
      </w:r>
    </w:p>
    <w:p>
      <w:pPr>
        <w:numPr>
          <w:ilvl w:val="1"/>
          <w:numId w:val="65"/>
        </w:numPr>
      </w:pPr>
      <w:r>
        <w:rPr/>
        <w:t>Traitement symptomatique : antipyrétique, antalgique</w:t>
      </w:r>
      <w:r>
        <w:rPr/>
        <w:br/>
      </w:r>
    </w:p>
    <w:p>
      <w:pPr>
        <w:pStyle w:val="Heading3"/>
      </w:pPr>
      <w:r>
        <w:rPr/>
        <w:t>Indications</w:t>
      </w:r>
    </w:p>
    <w:p>
      <w:pPr>
        <w:numPr>
          <w:ilvl w:val="1"/>
          <w:numId w:val="65"/>
        </w:numPr>
      </w:pPr>
      <w:r>
        <w:rPr>
          <w:b/>
        </w:rPr>
        <w:t>Cystite (1ère épisode)</w:t>
      </w:r>
    </w:p>
    <w:p>
      <w:pPr>
        <w:numPr>
          <w:ilvl w:val="2"/>
          <w:numId w:val="65"/>
        </w:numPr>
      </w:pPr>
      <w:r>
        <w:rPr/>
        <w:t>Quel que soit l’âge et le genre :</w:t>
      </w:r>
    </w:p>
    <w:p>
      <w:pPr>
        <w:numPr>
          <w:ilvl w:val="3"/>
          <w:numId w:val="65"/>
        </w:numPr>
      </w:pPr>
      <w:r>
        <w:rPr/>
        <w:t>Échographie urinaire : recherche de malformation ou tumeur</w:t>
      </w:r>
    </w:p>
    <w:p>
      <w:pPr>
        <w:numPr>
          <w:ilvl w:val="3"/>
          <w:numId w:val="65"/>
        </w:numPr>
      </w:pPr>
      <w:r>
        <w:rPr/>
        <w:t>Antibiotique :</w:t>
      </w:r>
      <w:r>
        <w:rPr/>
        <w:t xml:space="preserve"> cotrimoxazole, à adapter secondairement selon l’antibiogramme, durée du traitement : 8 jours </w:t>
      </w:r>
      <w:r>
        <w:rPr/>
        <w:br/>
      </w:r>
    </w:p>
    <w:p>
      <w:pPr>
        <w:numPr>
          <w:ilvl w:val="1"/>
          <w:numId w:val="65"/>
        </w:numPr>
      </w:pPr>
      <w:r>
        <w:rPr>
          <w:b/>
        </w:rPr>
        <w:t>Hospitalisation</w:t>
      </w:r>
    </w:p>
    <w:p>
      <w:pPr>
        <w:numPr>
          <w:ilvl w:val="2"/>
          <w:numId w:val="65"/>
        </w:numPr>
      </w:pPr>
      <w:r>
        <w:rPr/>
        <w:t>Chez enfants &lt; 3 mois car risque de dissémination systémique des germes</w:t>
      </w:r>
    </w:p>
    <w:p>
      <w:pPr>
        <w:numPr>
          <w:ilvl w:val="2"/>
          <w:numId w:val="65"/>
        </w:numPr>
      </w:pPr>
      <w:r>
        <w:rPr/>
        <w:t>Recommandée jusqu’à l’âge de 6 mois (</w:t>
      </w:r>
      <w:r>
        <w:rPr>
          <w:i/>
        </w:rPr>
        <w:t>nécessité à bien juger)</w:t>
      </w:r>
    </w:p>
    <w:p>
      <w:pPr>
        <w:numPr>
          <w:ilvl w:val="2"/>
          <w:numId w:val="65"/>
        </w:numPr>
      </w:pPr>
      <w:r>
        <w:rPr/>
        <w:t>Au-delà, c’est la tolérance clinique qui oriente l’hospitalisation</w:t>
      </w:r>
      <w:r>
        <w:rPr/>
        <w:br/>
      </w:r>
    </w:p>
    <w:p>
      <w:pPr>
        <w:numPr>
          <w:ilvl w:val="1"/>
          <w:numId w:val="65"/>
        </w:numPr>
      </w:pPr>
      <w:r>
        <w:rPr>
          <w:b/>
        </w:rPr>
        <w:t>Antibiotique :</w:t>
      </w:r>
    </w:p>
    <w:p>
      <w:pPr>
        <w:numPr>
          <w:ilvl w:val="2"/>
          <w:numId w:val="65"/>
        </w:numPr>
      </w:pPr>
      <w:r>
        <w:rPr/>
        <w:t>Curative : si étiologie bactérienne</w:t>
      </w:r>
    </w:p>
    <w:p>
      <w:pPr>
        <w:numPr>
          <w:ilvl w:val="2"/>
          <w:numId w:val="65"/>
        </w:numPr>
      </w:pPr>
      <w:r>
        <w:rPr/>
        <w:t xml:space="preserve">Prophylactique : </w:t>
      </w:r>
      <w:r>
        <w:rPr/>
        <w:t>Cefaclor</w:t>
      </w:r>
      <w:r>
        <w:rPr/>
        <w:t xml:space="preserve"> chez &lt; 2 mois, Cotrimoxazole </w:t>
      </w:r>
      <w:r>
        <w:rPr/>
        <w:t>ensuite,</w:t>
      </w:r>
      <w:r>
        <w:rPr/>
        <w:t xml:space="preserve"> </w:t>
      </w:r>
      <w:r>
        <w:rPr>
          <w:i/>
        </w:rPr>
        <w:t>utilisé en cas de malformation des voies urinaires</w:t>
      </w:r>
      <w:r>
        <w:rPr>
          <w:i/>
        </w:rPr>
        <w:br/>
      </w:r>
    </w:p>
    <w:p>
      <w:pPr>
        <w:numPr>
          <w:ilvl w:val="1"/>
          <w:numId w:val="65"/>
        </w:numPr>
      </w:pPr>
      <w:r>
        <w:rPr/>
        <w:t>Si pyélonéphrite aiguë récidivante : cystographie même si échographie normale (</w:t>
      </w:r>
      <w:r>
        <w:rPr>
          <w:i/>
        </w:rPr>
        <w:t>pour voir le reflux vésico-urétéral)</w:t>
      </w:r>
      <w:r>
        <w:rPr>
          <w:i/>
        </w:rPr>
        <w:br/>
      </w:r>
    </w:p>
    <w:p>
      <w:pPr>
        <w:numPr>
          <w:ilvl w:val="1"/>
          <w:numId w:val="65"/>
        </w:numPr>
      </w:pPr>
      <w:r>
        <w:rPr/>
        <w:t xml:space="preserve">Si fièvre ou </w:t>
      </w:r>
      <w:r>
        <w:rPr/>
        <w:t>douleur :</w:t>
      </w:r>
      <w:r>
        <w:rPr/>
        <w:t xml:space="preserve"> Paracétamol</w:t>
      </w:r>
      <w:r>
        <w:rPr/>
        <w:br/>
      </w:r>
    </w:p>
    <w:p>
      <w:pPr>
        <w:pStyle w:val="Heading3"/>
      </w:pPr>
      <w:r>
        <w:rPr/>
        <w:t>Surveillance :</w:t>
      </w:r>
    </w:p>
    <w:p>
      <w:pPr>
        <w:pStyle w:val="Heading4"/>
      </w:pPr>
      <w:r>
        <w:rPr/>
        <w:t>Clinique</w:t>
      </w:r>
      <w:r>
        <w:rPr/>
        <w:t xml:space="preserve"> : </w:t>
      </w:r>
    </w:p>
    <w:p>
      <w:pPr>
        <w:numPr>
          <w:ilvl w:val="2"/>
          <w:numId w:val="65"/>
        </w:numPr>
      </w:pPr>
      <w:r>
        <w:rPr/>
        <w:t>Température</w:t>
      </w:r>
    </w:p>
    <w:p>
      <w:pPr>
        <w:numPr>
          <w:ilvl w:val="2"/>
          <w:numId w:val="65"/>
        </w:numPr>
      </w:pPr>
      <w:r>
        <w:rPr/>
        <w:t>Diurèse</w:t>
      </w:r>
    </w:p>
    <w:p>
      <w:pPr>
        <w:numPr>
          <w:ilvl w:val="2"/>
          <w:numId w:val="65"/>
        </w:numPr>
      </w:pPr>
      <w:r>
        <w:rPr/>
        <w:t>Douleur lombaire, abdominale, pelvienne, ...</w:t>
      </w:r>
    </w:p>
    <w:p>
      <w:pPr>
        <w:numPr>
          <w:ilvl w:val="2"/>
          <w:numId w:val="65"/>
        </w:numPr>
      </w:pPr>
      <w:r>
        <w:rPr/>
        <w:t>...</w:t>
      </w:r>
    </w:p>
    <w:p>
      <w:pPr>
        <w:pStyle w:val="Heading4"/>
      </w:pPr>
      <w:r>
        <w:rPr/>
        <w:t>Paraclinique</w:t>
      </w:r>
    </w:p>
    <w:p>
      <w:pPr>
        <w:numPr>
          <w:ilvl w:val="2"/>
          <w:numId w:val="65"/>
        </w:numPr>
      </w:pPr>
      <w:r>
        <w:rPr/>
        <w:t>Echographie rénale dans les 72 heures du début du traitement (recherche de complications, ex : abcès rénal)</w:t>
      </w:r>
    </w:p>
    <w:p>
      <w:pPr>
        <w:numPr>
          <w:ilvl w:val="2"/>
          <w:numId w:val="65"/>
        </w:numPr>
      </w:pPr>
      <w:r>
        <w:rPr/>
        <w:t>ECBU de contrôle : non utile</w:t>
      </w:r>
    </w:p>
    <w:p>
      <w:pPr>
        <w:numPr>
          <w:ilvl w:val="2"/>
          <w:numId w:val="65"/>
        </w:numPr>
      </w:pPr>
      <w:r>
        <w:rPr/>
        <w:t xml:space="preserve">Prévoir la scintigraphie rénale si infection urinaire </w:t>
      </w:r>
      <w:r>
        <w:rPr/>
        <w:t>récidivante (</w:t>
      </w:r>
      <w:r>
        <w:rPr/>
        <w:t>RVU?</w:t>
      </w:r>
      <w:r>
        <w:rPr/>
        <w:t>)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66"/>
        </w:numPr>
      </w:pPr>
      <w:r>
        <w:rPr/>
        <w:t>Diagnostic d’infection urinaire = BU + ECBU</w:t>
      </w:r>
      <w:r>
        <w:rPr/>
        <w:br/>
      </w:r>
    </w:p>
    <w:p>
      <w:pPr>
        <w:numPr>
          <w:ilvl w:val="0"/>
          <w:numId w:val="66"/>
        </w:numPr>
      </w:pPr>
      <w:r>
        <w:rPr/>
        <w:t>2 diagnostics topographiques</w:t>
      </w:r>
    </w:p>
    <w:p>
      <w:pPr>
        <w:numPr>
          <w:ilvl w:val="1"/>
          <w:numId w:val="66"/>
        </w:numPr>
      </w:pPr>
      <w:r>
        <w:rPr/>
        <w:t>Cysti</w:t>
      </w:r>
      <w:r>
        <w:rPr/>
        <w:t>t</w:t>
      </w:r>
      <w:r>
        <w:rPr/>
        <w:t>e (IUB) : non fébrile</w:t>
      </w:r>
    </w:p>
    <w:p>
      <w:pPr>
        <w:numPr>
          <w:ilvl w:val="1"/>
          <w:numId w:val="66"/>
        </w:numPr>
      </w:pPr>
      <w:r>
        <w:rPr/>
        <w:t>PNA (IUH) : fébrile</w:t>
      </w:r>
      <w:r>
        <w:rPr/>
        <w:br/>
      </w:r>
    </w:p>
    <w:p>
      <w:pPr>
        <w:numPr>
          <w:ilvl w:val="0"/>
          <w:numId w:val="66"/>
        </w:numPr>
      </w:pPr>
      <w:r>
        <w:rPr/>
        <w:t>Rechercher un reflux vésico-urétéral si PNA récidivante</w:t>
      </w:r>
      <w:r>
        <w:rPr/>
        <w:br/>
      </w:r>
    </w:p>
    <w:p>
      <w:pPr>
        <w:numPr>
          <w:ilvl w:val="0"/>
          <w:numId w:val="66"/>
        </w:numPr>
      </w:pPr>
      <w:r>
        <w:rPr/>
        <w:t>Traitement antibiotique précoce car risque de cicatrices rénales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