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INFECTIONS NEONATALES BACTERIENNES PRECOCES (INBP)</w:t>
      </w:r>
      <w:r>
        <w:rPr/>
        <w:br/>
        <w:t>ou</w:t>
      </w:r>
      <w:r>
        <w:rPr/>
        <w:br/>
        <w:t>INFECTIONS MATERNO-FOETALES BACTERIENNES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75"/>
        </w:numPr>
      </w:pPr>
      <w:r>
        <w:rPr/>
        <w:t>Rechercher les facteurs de risque</w:t>
      </w:r>
    </w:p>
    <w:p>
      <w:pPr>
        <w:numPr>
          <w:ilvl w:val="0"/>
          <w:numId w:val="75"/>
        </w:numPr>
      </w:pPr>
      <w:r>
        <w:rPr/>
        <w:t>Poser le diagnostic</w:t>
      </w:r>
    </w:p>
    <w:p>
      <w:pPr>
        <w:numPr>
          <w:ilvl w:val="0"/>
          <w:numId w:val="75"/>
        </w:numPr>
      </w:pPr>
      <w:r>
        <w:rPr/>
        <w:t>Mettre en route le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76"/>
        </w:numPr>
      </w:pPr>
      <w:r>
        <w:rPr/>
        <w:t>INBP = infections constatées chez le nouveau-né, contaminé par sa mère pendant la grossesse ou au moment de l’accouchement</w:t>
      </w:r>
    </w:p>
    <w:p>
      <w:pPr>
        <w:numPr>
          <w:ilvl w:val="0"/>
          <w:numId w:val="76"/>
        </w:numPr>
      </w:pPr>
      <w:r>
        <w:rPr/>
        <w:t>Infections tardives : après 3 jours de vie</w:t>
      </w:r>
    </w:p>
    <w:p>
      <w:pPr>
        <w:numPr>
          <w:ilvl w:val="0"/>
          <w:numId w:val="76"/>
        </w:numPr>
      </w:pPr>
      <w:r>
        <w:rPr/>
        <w:t>Causes : bactériennes</w:t>
      </w:r>
    </w:p>
    <w:p>
      <w:pPr>
        <w:numPr>
          <w:ilvl w:val="1"/>
          <w:numId w:val="76"/>
        </w:numPr>
      </w:pPr>
      <w:r>
        <w:rPr>
          <w:b/>
        </w:rPr>
        <w:t xml:space="preserve">INBP certaine : </w:t>
      </w:r>
      <w:r>
        <w:rPr/>
        <w:t>au moins un prélèvement central (hémoculture, LCR) positif à un germe pathogène (</w:t>
      </w:r>
      <w:r>
        <w:rPr>
          <w:i/>
        </w:rPr>
        <w:t>pas d’ECBU chez un nouveau-né : infection soit systémique soit compliquée d’une méningite, non périphérique)</w:t>
      </w:r>
    </w:p>
    <w:p>
      <w:pPr>
        <w:numPr>
          <w:ilvl w:val="1"/>
          <w:numId w:val="76"/>
        </w:numPr>
      </w:pPr>
      <w:r>
        <w:rPr>
          <w:b/>
        </w:rPr>
        <w:t xml:space="preserve">INBP probable : </w:t>
      </w:r>
      <w:r>
        <w:rPr/>
        <w:t>prélèvements centraux négatifs mais éléments anamnestiques, cliniques et biologiques évocateurs</w:t>
      </w:r>
    </w:p>
    <w:p>
      <w:pPr>
        <w:numPr>
          <w:ilvl w:val="1"/>
          <w:numId w:val="76"/>
        </w:numPr>
      </w:pPr>
      <w:r>
        <w:rPr>
          <w:b/>
        </w:rPr>
        <w:t xml:space="preserve">Suspicion INBP : </w:t>
      </w:r>
      <w:r>
        <w:rPr/>
        <w:t>nouveau-né symptomatique ou non et dont l’infection est à confirmer par les prélèvements centraux et/ou biologiques</w:t>
      </w:r>
    </w:p>
    <w:p>
      <w:pPr>
        <w:numPr>
          <w:ilvl w:val="2"/>
          <w:numId w:val="76"/>
        </w:numPr>
      </w:pPr>
      <w:r>
        <w:rPr/>
        <w:t xml:space="preserve">Ex : </w:t>
      </w:r>
      <w:r>
        <w:rPr>
          <w:i/>
        </w:rPr>
        <w:t>prématurité inexpliquée</w:t>
      </w:r>
    </w:p>
    <w:p>
      <w:pPr>
        <w:pStyle w:val="Heading3"/>
      </w:pPr>
      <w:r>
        <w:rPr/>
        <w:t>Intérêt</w:t>
      </w:r>
    </w:p>
    <w:p>
      <w:pPr>
        <w:numPr>
          <w:ilvl w:val="1"/>
          <w:numId w:val="76"/>
        </w:numPr>
      </w:pPr>
      <w:r>
        <w:rPr/>
        <w:t>Incidence : 1 à 1% naissances vivantes</w:t>
      </w:r>
    </w:p>
    <w:p>
      <w:pPr>
        <w:numPr>
          <w:ilvl w:val="1"/>
          <w:numId w:val="76"/>
        </w:numPr>
      </w:pPr>
      <w:r>
        <w:rPr/>
        <w:t>OMS : 20% des nouveaux nés sont infectés dans PVD</w:t>
      </w:r>
    </w:p>
    <w:p>
      <w:pPr>
        <w:numPr>
          <w:ilvl w:val="1"/>
          <w:numId w:val="76"/>
        </w:numPr>
      </w:pPr>
      <w:r>
        <w:rPr>
          <w:b/>
        </w:rPr>
        <w:t xml:space="preserve">2 à 4 fois plus fréquentes chez </w:t>
      </w:r>
      <w:r>
        <w:rPr>
          <w:b/>
        </w:rPr>
        <w:t>le prématuré</w:t>
      </w:r>
      <w:r>
        <w:rPr>
          <w:b/>
        </w:rPr>
        <w:br/>
      </w:r>
    </w:p>
    <w:p>
      <w:pPr>
        <w:pStyle w:val="Heading3"/>
      </w:pPr>
      <w:r>
        <w:rPr/>
        <w:t>Gravité</w:t>
      </w:r>
    </w:p>
    <w:p>
      <w:pPr>
        <w:numPr>
          <w:ilvl w:val="1"/>
          <w:numId w:val="76"/>
        </w:numPr>
      </w:pPr>
      <w:r>
        <w:rPr/>
        <w:t>Mortalité = 10% (préma +++</w:t>
      </w:r>
    </w:p>
    <w:p>
      <w:pPr>
        <w:numPr>
          <w:ilvl w:val="1"/>
          <w:numId w:val="76"/>
        </w:numPr>
      </w:pPr>
      <w:r>
        <w:rPr/>
        <w:t>Madagascar :</w:t>
      </w:r>
      <w:r>
        <w:rPr/>
        <w:t xml:space="preserve"> 23% des NN décédés dus à une infection</w:t>
      </w:r>
    </w:p>
    <w:p>
      <w:pPr>
        <w:numPr>
          <w:ilvl w:val="1"/>
          <w:numId w:val="76"/>
        </w:numPr>
      </w:pPr>
      <w:r>
        <w:rPr/>
        <w:t>Taux de mortalité à Antananarivo : 6-24% (selon le centre)</w:t>
      </w:r>
      <w:r>
        <w:rPr/>
        <w:br/>
      </w:r>
    </w:p>
    <w:p>
      <w:pPr>
        <w:pStyle w:val="Heading3"/>
      </w:pPr>
      <w:r>
        <w:rPr/>
        <w:t>Urgence médicale +++</w:t>
      </w:r>
      <w:r>
        <w:rPr/>
        <w:br/>
      </w:r>
    </w:p>
    <w:p>
      <w:pPr>
        <w:pStyle w:val="Heading3"/>
      </w:pPr>
      <w:r>
        <w:rPr/>
        <w:t>Voies de transmission</w:t>
      </w:r>
    </w:p>
    <w:p>
      <w:pPr>
        <w:numPr>
          <w:ilvl w:val="1"/>
          <w:numId w:val="76"/>
        </w:numPr>
      </w:pPr>
      <w:r>
        <w:rPr/>
        <w:t>Hématogène (</w:t>
      </w:r>
      <w:r>
        <w:rPr/>
        <w:t>transplacentaire</w:t>
      </w:r>
      <w:r>
        <w:rPr/>
        <w:t>)</w:t>
      </w:r>
    </w:p>
    <w:p>
      <w:pPr>
        <w:numPr>
          <w:ilvl w:val="1"/>
          <w:numId w:val="76"/>
        </w:numPr>
      </w:pPr>
      <w:r>
        <w:rPr/>
        <w:t>Ascendante</w:t>
      </w:r>
    </w:p>
    <w:p>
      <w:pPr>
        <w:numPr>
          <w:ilvl w:val="1"/>
          <w:numId w:val="76"/>
        </w:numPr>
      </w:pPr>
      <w:r>
        <w:rPr/>
        <w:t>Par contiguïté</w:t>
      </w:r>
    </w:p>
    <w:p>
      <w:pPr>
        <w:numPr>
          <w:ilvl w:val="1"/>
          <w:numId w:val="76"/>
        </w:numPr>
      </w:pPr>
      <w:r>
        <w:rPr/>
        <w:t>Accouchement (passage dans la filière génitale)</w:t>
      </w:r>
      <w:r>
        <w:rPr/>
        <w:br/>
      </w:r>
    </w:p>
    <w:p>
      <w:pPr>
        <w:pStyle w:val="Heading3"/>
      </w:pPr>
      <w:r>
        <w:rPr/>
        <w:t>Germes :</w:t>
      </w:r>
    </w:p>
    <w:p>
      <w:pPr>
        <w:numPr>
          <w:ilvl w:val="1"/>
          <w:numId w:val="76"/>
        </w:numPr>
      </w:pPr>
      <w:r>
        <w:rPr/>
        <w:t xml:space="preserve">INN précoce : </w:t>
      </w:r>
    </w:p>
    <w:p>
      <w:pPr>
        <w:numPr>
          <w:ilvl w:val="2"/>
          <w:numId w:val="76"/>
        </w:numPr>
      </w:pPr>
      <w:r>
        <w:rPr>
          <w:b/>
        </w:rPr>
        <w:t xml:space="preserve">Streptocoque B / Streptocoque </w:t>
      </w:r>
      <w:r>
        <w:rPr>
          <w:b/>
        </w:rPr>
        <w:t>agalactiae</w:t>
      </w:r>
    </w:p>
    <w:p>
      <w:pPr>
        <w:numPr>
          <w:ilvl w:val="2"/>
          <w:numId w:val="76"/>
        </w:numPr>
      </w:pPr>
      <w:r>
        <w:rPr>
          <w:b/>
          <w:i/>
        </w:rPr>
        <w:t>Escherichia coli</w:t>
      </w:r>
    </w:p>
    <w:p>
      <w:pPr>
        <w:numPr>
          <w:ilvl w:val="2"/>
          <w:numId w:val="76"/>
        </w:numPr>
      </w:pPr>
      <w:r>
        <w:rPr>
          <w:b/>
          <w:i/>
        </w:rPr>
        <w:t>Listéria monocytogenes</w:t>
      </w:r>
    </w:p>
    <w:p>
      <w:pPr>
        <w:numPr>
          <w:ilvl w:val="1"/>
          <w:numId w:val="76"/>
        </w:numPr>
      </w:pPr>
      <w:r>
        <w:rPr/>
        <w:t xml:space="preserve">Autres germes : Staphylocoques, </w:t>
      </w:r>
      <w:r>
        <w:rPr>
          <w:i/>
        </w:rPr>
        <w:t xml:space="preserve">H. Influenzae, S. </w:t>
      </w:r>
      <w:r>
        <w:rPr>
          <w:i/>
        </w:rPr>
        <w:t>Pneumoniae</w:t>
      </w:r>
      <w:r>
        <w:rPr/>
        <w:t>, méningocoques, anaérobies</w:t>
      </w:r>
    </w:p>
    <w:p>
      <w:pPr/>
    </w:p>
    <w:p>
      <w:pPr>
        <w:pStyle w:val="Heading2"/>
      </w:pPr>
      <w:r>
        <w:rPr/>
        <w:t>DIAGNOSTIC</w:t>
      </w:r>
      <w:r>
        <w:rPr/>
        <w:t xml:space="preserve"> POSITIF</w:t>
      </w:r>
    </w:p>
    <w:p>
      <w:pPr/>
    </w:p>
    <w:p>
      <w:pPr>
        <w:pStyle w:val="Heading3"/>
        <w:numPr>
          <w:ilvl w:val="0"/>
          <w:numId w:val="145"/>
        </w:numPr>
      </w:pPr>
      <w:r>
        <w:rPr/>
        <w:t>Anamnèse</w:t>
      </w:r>
    </w:p>
    <w:p>
      <w:pPr>
        <w:pStyle w:val="Heading4"/>
      </w:pPr>
      <w:r>
        <w:rPr/>
        <w:t>Antécédents (arguments à hauts risques)</w:t>
      </w:r>
    </w:p>
    <w:p>
      <w:pPr>
        <w:pStyle w:val="Heading5"/>
        <w:numPr>
          <w:ilvl w:val="0"/>
          <w:numId w:val="146"/>
        </w:numPr>
      </w:pPr>
      <w:r>
        <w:rPr/>
        <w:t>Grossesse :</w:t>
      </w:r>
    </w:p>
    <w:p>
      <w:pPr>
        <w:numPr>
          <w:ilvl w:val="3"/>
          <w:numId w:val="77"/>
        </w:numPr>
      </w:pPr>
      <w:r>
        <w:rPr/>
        <w:t xml:space="preserve">Episode fébrile </w:t>
      </w:r>
      <w:r>
        <w:rPr>
          <w:rFonts w:ascii="Symbol" w:hAnsi="Symbol"/>
        </w:rPr>
      </w:r>
      <w:r>
        <w:rPr/>
        <w:t>38°C, syndrome pseudo-grippal (</w:t>
      </w:r>
      <w:r>
        <w:rPr>
          <w:i/>
        </w:rPr>
        <w:t>listériose maternelle</w:t>
      </w:r>
      <w:r>
        <w:rPr>
          <w:i/>
        </w:rPr>
        <w:t xml:space="preserve"> surtout III trimestre)</w:t>
      </w:r>
    </w:p>
    <w:p>
      <w:pPr>
        <w:numPr>
          <w:ilvl w:val="3"/>
          <w:numId w:val="77"/>
        </w:numPr>
      </w:pPr>
      <w:r>
        <w:rPr/>
        <w:t>Infection urinaire ou systémique récente</w:t>
      </w:r>
    </w:p>
    <w:p>
      <w:pPr>
        <w:numPr>
          <w:ilvl w:val="3"/>
          <w:numId w:val="77"/>
        </w:numPr>
      </w:pPr>
      <w:r>
        <w:rPr/>
        <w:t>Infection cervico-vaginale récente</w:t>
      </w:r>
    </w:p>
    <w:p>
      <w:pPr>
        <w:numPr>
          <w:ilvl w:val="3"/>
          <w:numId w:val="77"/>
        </w:numPr>
      </w:pPr>
      <w:r>
        <w:rPr/>
        <w:t xml:space="preserve">Cerclage, amnioscopies répétées </w:t>
      </w:r>
    </w:p>
    <w:p>
      <w:pPr>
        <w:numPr>
          <w:ilvl w:val="3"/>
          <w:numId w:val="77"/>
        </w:numPr>
      </w:pPr>
      <w:r>
        <w:rPr/>
        <w:t>Rupture, ou fissuration des membranes</w:t>
      </w:r>
    </w:p>
    <w:p>
      <w:pPr>
        <w:numPr>
          <w:ilvl w:val="3"/>
          <w:numId w:val="77"/>
        </w:numPr>
      </w:pPr>
      <w:r>
        <w:rPr/>
        <w:t>SGB positif (portage maternel)</w:t>
      </w:r>
    </w:p>
    <w:p>
      <w:pPr>
        <w:numPr>
          <w:ilvl w:val="3"/>
          <w:numId w:val="77"/>
        </w:numPr>
      </w:pPr>
      <w:r>
        <w:rPr/>
        <w:t xml:space="preserve">Antécédent d’infection néonatale à SGB lors des grossesses </w:t>
      </w:r>
      <w:r>
        <w:rPr/>
        <w:t>ant</w:t>
      </w:r>
    </w:p>
    <w:p>
      <w:pPr>
        <w:numPr>
          <w:ilvl w:val="3"/>
          <w:numId w:val="77"/>
        </w:numPr>
      </w:pPr>
      <w:r>
        <w:rPr/>
        <w:t>Fièvre maternelle &gt; 38°C en per-partum ou dans les 2 heures qui suivent l’accouchement</w:t>
      </w:r>
      <w:r>
        <w:rPr/>
        <w:br/>
      </w:r>
    </w:p>
    <w:p>
      <w:pPr>
        <w:pStyle w:val="Heading5"/>
        <w:numPr>
          <w:ilvl w:val="0"/>
          <w:numId w:val="146"/>
        </w:numPr>
      </w:pPr>
      <w:r>
        <w:rPr/>
        <w:t>Accouchement</w:t>
      </w:r>
    </w:p>
    <w:p>
      <w:pPr>
        <w:numPr>
          <w:ilvl w:val="3"/>
          <w:numId w:val="77"/>
        </w:numPr>
      </w:pPr>
      <w:r>
        <w:rPr/>
        <w:t>Lieu, personne ayant assisté à l’accouchement</w:t>
      </w:r>
    </w:p>
    <w:p>
      <w:pPr>
        <w:numPr>
          <w:ilvl w:val="3"/>
          <w:numId w:val="77"/>
        </w:numPr>
      </w:pPr>
      <w:r>
        <w:rPr/>
        <w:t>Rupture prolongée de la poche des eaux (&gt;12h)</w:t>
      </w:r>
    </w:p>
    <w:p>
      <w:pPr>
        <w:numPr>
          <w:ilvl w:val="3"/>
          <w:numId w:val="77"/>
        </w:numPr>
      </w:pPr>
      <w:r>
        <w:rPr/>
        <w:t xml:space="preserve">Asphyxie périnatale sans cause évidente (LA teinté, purée de pois, fétide ; bradycardies </w:t>
      </w:r>
      <w:r>
        <w:rPr/>
        <w:t>fœtales</w:t>
      </w:r>
      <w:r>
        <w:rPr/>
        <w:t>)</w:t>
      </w:r>
    </w:p>
    <w:p>
      <w:pPr>
        <w:numPr>
          <w:ilvl w:val="3"/>
          <w:numId w:val="77"/>
        </w:numPr>
      </w:pPr>
      <w:r>
        <w:rPr/>
        <w:t>Travail prolongé, inefficace</w:t>
      </w:r>
    </w:p>
    <w:p>
      <w:pPr>
        <w:numPr>
          <w:ilvl w:val="3"/>
          <w:numId w:val="77"/>
        </w:numPr>
      </w:pPr>
      <w:r>
        <w:rPr/>
        <w:t>Manœuvres</w:t>
      </w:r>
      <w:r>
        <w:rPr/>
        <w:t xml:space="preserve"> obstétricales</w:t>
      </w:r>
      <w:r>
        <w:rPr/>
        <w:br/>
      </w:r>
    </w:p>
    <w:p>
      <w:pPr>
        <w:pStyle w:val="Heading5"/>
        <w:numPr>
          <w:ilvl w:val="0"/>
          <w:numId w:val="146"/>
        </w:numPr>
      </w:pPr>
      <w:r>
        <w:rPr/>
        <w:t>Naissance :</w:t>
      </w:r>
    </w:p>
    <w:p>
      <w:pPr>
        <w:numPr>
          <w:ilvl w:val="3"/>
          <w:numId w:val="77"/>
        </w:numPr>
      </w:pPr>
      <w:r>
        <w:rPr/>
        <w:t>Prématurité imprévue, inexpliquée</w:t>
      </w:r>
    </w:p>
    <w:p>
      <w:pPr>
        <w:numPr>
          <w:ilvl w:val="3"/>
          <w:numId w:val="77"/>
        </w:numPr>
      </w:pPr>
      <w:r>
        <w:rPr/>
        <w:t xml:space="preserve">Etat de mort apparente, </w:t>
      </w:r>
      <w:r>
        <w:rPr>
          <w:b/>
        </w:rPr>
        <w:t>Score d’Apgar (</w:t>
      </w:r>
      <w:r>
        <w:rPr>
          <w:b/>
          <w:i/>
        </w:rPr>
        <w:t>&lt;</w:t>
      </w:r>
      <w:r>
        <w:rPr>
          <w:b/>
          <w:i/>
        </w:rPr>
        <w:t>5 à</w:t>
      </w:r>
      <w:r>
        <w:rPr>
          <w:b/>
          <w:i/>
        </w:rPr>
        <w:t xml:space="preserve"> M5)</w:t>
      </w:r>
    </w:p>
    <w:p>
      <w:pPr>
        <w:numPr>
          <w:ilvl w:val="3"/>
          <w:numId w:val="77"/>
        </w:numPr>
      </w:pPr>
      <w:r>
        <w:rPr/>
        <w:t>Détresse vitale respiratoire isolée</w:t>
      </w:r>
    </w:p>
    <w:p>
      <w:pPr>
        <w:numPr>
          <w:ilvl w:val="3"/>
          <w:numId w:val="77"/>
        </w:numPr>
      </w:pPr>
      <w:r>
        <w:rPr/>
        <w:t>Aspect pathologique du placenta (</w:t>
      </w:r>
      <w:r>
        <w:rPr>
          <w:i/>
        </w:rPr>
        <w:t>associé à d’autres signes cliniques, anamnestiques et biologiques d’infection néonatale)</w:t>
      </w:r>
    </w:p>
    <w:p>
      <w:pPr>
        <w:pStyle w:val="Heading3"/>
        <w:numPr>
          <w:ilvl w:val="0"/>
          <w:numId w:val="145"/>
        </w:numPr>
      </w:pPr>
      <w:r>
        <w:rPr/>
        <w:t>Examen clinique</w:t>
      </w:r>
    </w:p>
    <w:p>
      <w:pPr>
        <w:pStyle w:val="Heading4"/>
        <w:numPr>
          <w:ilvl w:val="0"/>
          <w:numId w:val="147"/>
        </w:numPr>
      </w:pPr>
      <w:r>
        <w:rPr/>
        <w:t xml:space="preserve">Signes généraux </w:t>
      </w:r>
    </w:p>
    <w:p>
      <w:pPr>
        <w:numPr>
          <w:ilvl w:val="2"/>
          <w:numId w:val="77"/>
        </w:numPr>
      </w:pPr>
      <w:r>
        <w:rPr/>
        <w:t>Hypo ou hyperthermie</w:t>
      </w:r>
    </w:p>
    <w:p>
      <w:pPr>
        <w:numPr>
          <w:ilvl w:val="2"/>
          <w:numId w:val="77"/>
        </w:numPr>
      </w:pPr>
      <w:r>
        <w:rPr/>
        <w:t>Teint grisâtre</w:t>
      </w:r>
      <w:r>
        <w:rPr/>
        <w:br/>
      </w:r>
    </w:p>
    <w:p>
      <w:pPr>
        <w:pStyle w:val="Heading4"/>
        <w:numPr>
          <w:ilvl w:val="0"/>
          <w:numId w:val="147"/>
        </w:numPr>
      </w:pPr>
      <w:r>
        <w:rPr/>
        <w:t xml:space="preserve">Troubles digestifs : </w:t>
      </w:r>
    </w:p>
    <w:p>
      <w:pPr>
        <w:numPr>
          <w:ilvl w:val="2"/>
          <w:numId w:val="77"/>
        </w:numPr>
      </w:pPr>
      <w:r>
        <w:rPr>
          <w:b/>
        </w:rPr>
        <w:t>Refus de téter</w:t>
      </w:r>
    </w:p>
    <w:p>
      <w:pPr>
        <w:numPr>
          <w:ilvl w:val="2"/>
          <w:numId w:val="77"/>
        </w:numPr>
      </w:pPr>
      <w:r>
        <w:rPr/>
        <w:t>Vomissement</w:t>
      </w:r>
    </w:p>
    <w:p>
      <w:pPr>
        <w:numPr>
          <w:ilvl w:val="2"/>
          <w:numId w:val="77"/>
        </w:numPr>
      </w:pPr>
      <w:r>
        <w:rPr/>
        <w:t>Ballonnement abdominal</w:t>
      </w:r>
      <w:r>
        <w:rPr/>
        <w:br/>
      </w:r>
    </w:p>
    <w:p>
      <w:pPr>
        <w:pStyle w:val="Heading4"/>
        <w:numPr>
          <w:ilvl w:val="0"/>
          <w:numId w:val="147"/>
        </w:numPr>
      </w:pPr>
      <w:r>
        <w:rPr/>
        <w:t>Troubles respiratoires</w:t>
      </w:r>
    </w:p>
    <w:p>
      <w:pPr>
        <w:numPr>
          <w:ilvl w:val="2"/>
          <w:numId w:val="77"/>
        </w:numPr>
      </w:pPr>
      <w:r>
        <w:rPr/>
        <w:t>Détresse respiratoire</w:t>
      </w:r>
    </w:p>
    <w:p>
      <w:pPr>
        <w:numPr>
          <w:ilvl w:val="2"/>
          <w:numId w:val="77"/>
        </w:numPr>
      </w:pPr>
      <w:r>
        <w:rPr/>
        <w:t>Apnée</w:t>
      </w:r>
    </w:p>
    <w:p>
      <w:pPr>
        <w:numPr>
          <w:ilvl w:val="2"/>
          <w:numId w:val="77"/>
        </w:numPr>
      </w:pPr>
      <w:r>
        <w:rPr/>
        <w:t>Cyanose</w:t>
      </w:r>
      <w:r>
        <w:rPr/>
        <w:br/>
      </w:r>
    </w:p>
    <w:p>
      <w:pPr>
        <w:pStyle w:val="Heading4"/>
        <w:numPr>
          <w:ilvl w:val="0"/>
          <w:numId w:val="147"/>
        </w:numPr>
      </w:pPr>
      <w:r>
        <w:rPr/>
        <w:t xml:space="preserve">Troubles hémodynamiques : </w:t>
      </w:r>
    </w:p>
    <w:p>
      <w:pPr>
        <w:numPr>
          <w:ilvl w:val="2"/>
          <w:numId w:val="77"/>
        </w:numPr>
      </w:pPr>
      <w:r>
        <w:rPr/>
        <w:t>Pâleur</w:t>
      </w:r>
    </w:p>
    <w:p>
      <w:pPr>
        <w:numPr>
          <w:ilvl w:val="2"/>
          <w:numId w:val="77"/>
        </w:numPr>
      </w:pPr>
      <w:r>
        <w:rPr/>
        <w:t>Troubles vasomoteurs (</w:t>
      </w:r>
      <w:r>
        <w:rPr>
          <w:i/>
        </w:rPr>
        <w:t xml:space="preserve">marbrures, </w:t>
      </w:r>
      <w:r>
        <w:rPr>
          <w:i/>
        </w:rPr>
        <w:t>scleremes</w:t>
      </w:r>
      <w:r>
        <w:rPr>
          <w:i/>
        </w:rPr>
        <w:t>)</w:t>
      </w:r>
    </w:p>
    <w:p>
      <w:pPr>
        <w:numPr>
          <w:ilvl w:val="2"/>
          <w:numId w:val="77"/>
        </w:numPr>
      </w:pPr>
      <w:r>
        <w:rPr/>
        <w:t>Cyanose des extrémités</w:t>
      </w:r>
    </w:p>
    <w:p>
      <w:pPr>
        <w:numPr>
          <w:ilvl w:val="2"/>
          <w:numId w:val="77"/>
        </w:numPr>
      </w:pPr>
      <w:r>
        <w:rPr/>
        <w:t>TRC&gt; 3s</w:t>
      </w:r>
    </w:p>
    <w:p>
      <w:pPr>
        <w:numPr>
          <w:ilvl w:val="2"/>
          <w:numId w:val="77"/>
        </w:numPr>
      </w:pPr>
      <w:r>
        <w:rPr/>
        <w:t>SpO2&lt; 90%</w:t>
      </w:r>
      <w:r>
        <w:rPr/>
        <w:br/>
      </w:r>
    </w:p>
    <w:p>
      <w:pPr>
        <w:pStyle w:val="Heading4"/>
        <w:numPr>
          <w:ilvl w:val="0"/>
          <w:numId w:val="147"/>
        </w:numPr>
      </w:pPr>
      <w:r>
        <w:rPr/>
        <w:t>Signes cutanés :</w:t>
      </w:r>
    </w:p>
    <w:p>
      <w:pPr>
        <w:numPr>
          <w:ilvl w:val="2"/>
          <w:numId w:val="77"/>
        </w:numPr>
      </w:pPr>
      <w:r>
        <w:rPr/>
        <w:t>Éruptions</w:t>
      </w:r>
    </w:p>
    <w:p>
      <w:pPr>
        <w:numPr>
          <w:ilvl w:val="2"/>
          <w:numId w:val="77"/>
        </w:numPr>
      </w:pPr>
      <w:r>
        <w:rPr/>
        <w:t>Purpura</w:t>
      </w:r>
    </w:p>
    <w:p>
      <w:pPr>
        <w:numPr>
          <w:ilvl w:val="2"/>
          <w:numId w:val="77"/>
        </w:numPr>
      </w:pPr>
      <w:r>
        <w:rPr/>
        <w:t>Sclérème (</w:t>
      </w:r>
      <w:r>
        <w:rPr/>
        <w:t>œdèmes</w:t>
      </w:r>
      <w:r>
        <w:rPr/>
        <w:t xml:space="preserve"> durs)</w:t>
      </w:r>
      <w:r>
        <w:rPr/>
        <w:br/>
      </w:r>
    </w:p>
    <w:p>
      <w:pPr>
        <w:pStyle w:val="Heading4"/>
        <w:numPr>
          <w:ilvl w:val="0"/>
          <w:numId w:val="147"/>
        </w:numPr>
      </w:pPr>
      <w:r>
        <w:rPr/>
        <w:t>Neurologiques</w:t>
      </w:r>
    </w:p>
    <w:p>
      <w:pPr>
        <w:numPr>
          <w:ilvl w:val="2"/>
          <w:numId w:val="77"/>
        </w:numPr>
      </w:pPr>
      <w:r>
        <w:rPr/>
        <w:t>Léthargie</w:t>
      </w:r>
    </w:p>
    <w:p>
      <w:pPr>
        <w:numPr>
          <w:ilvl w:val="2"/>
          <w:numId w:val="77"/>
        </w:numPr>
      </w:pPr>
      <w:r>
        <w:rPr/>
        <w:t>Trouble de réactivité et/ou du tonus</w:t>
      </w:r>
    </w:p>
    <w:p>
      <w:pPr>
        <w:numPr>
          <w:ilvl w:val="2"/>
          <w:numId w:val="77"/>
        </w:numPr>
      </w:pPr>
      <w:r>
        <w:rPr/>
        <w:t>Mouvements anormaux</w:t>
      </w:r>
    </w:p>
    <w:p>
      <w:pPr>
        <w:numPr>
          <w:ilvl w:val="2"/>
          <w:numId w:val="77"/>
        </w:numPr>
      </w:pPr>
      <w:r>
        <w:rPr/>
        <w:t>Convulsions</w:t>
      </w:r>
      <w:r>
        <w:rPr/>
        <w:br/>
      </w:r>
    </w:p>
    <w:p>
      <w:pPr>
        <w:pStyle w:val="Heading4"/>
      </w:pPr>
      <w:r>
        <w:rPr/>
        <w:t>Souvent asymptomatique au moment de la naissance</w:t>
      </w:r>
      <w:r>
        <w:rPr/>
      </w:r>
      <w:r>
        <w:rPr/>
        <w:t xml:space="preserve"> </w:t>
      </w:r>
      <w:r>
        <w:rPr/>
        <w:br/>
      </w:r>
    </w:p>
    <w:p>
      <w:pPr>
        <w:pStyle w:val="Heading3"/>
        <w:numPr>
          <w:ilvl w:val="0"/>
          <w:numId w:val="145"/>
        </w:numPr>
      </w:pPr>
      <w:r>
        <w:rPr/>
        <w:t>Examens paracliniques</w:t>
      </w:r>
    </w:p>
    <w:p>
      <w:pPr>
        <w:pStyle w:val="Heading4"/>
        <w:numPr>
          <w:ilvl w:val="0"/>
          <w:numId w:val="148"/>
        </w:numPr>
      </w:pPr>
      <w:r>
        <w:rPr/>
        <w:t>Biologie et radiologie : arguments de présomption</w:t>
      </w:r>
    </w:p>
    <w:p>
      <w:pPr>
        <w:numPr>
          <w:ilvl w:val="2"/>
          <w:numId w:val="77"/>
        </w:numPr>
      </w:pPr>
      <w:r>
        <w:rPr>
          <w:b/>
        </w:rPr>
        <w:t>NFS</w:t>
      </w:r>
      <w:r>
        <w:rPr/>
        <w:t xml:space="preserve"> : </w:t>
      </w:r>
      <w:r>
        <w:rPr>
          <w:i/>
        </w:rPr>
        <w:t>soit :</w:t>
      </w:r>
    </w:p>
    <w:p>
      <w:pPr>
        <w:numPr>
          <w:ilvl w:val="3"/>
          <w:numId w:val="77"/>
        </w:numPr>
      </w:pPr>
      <w:r>
        <w:rPr/>
        <w:t>Neutropénie &lt;1500/ mm3</w:t>
      </w:r>
    </w:p>
    <w:p>
      <w:pPr>
        <w:numPr>
          <w:ilvl w:val="3"/>
          <w:numId w:val="77"/>
        </w:numPr>
      </w:pPr>
      <w:r>
        <w:rPr/>
        <w:t>Hyperleucocytose &gt; 30.000/mm3</w:t>
      </w:r>
    </w:p>
    <w:p>
      <w:pPr>
        <w:numPr>
          <w:ilvl w:val="3"/>
          <w:numId w:val="77"/>
        </w:numPr>
      </w:pPr>
      <w:r>
        <w:rPr/>
        <w:t>Thrombopénie &lt; 150.000/mm3</w:t>
      </w:r>
      <w:r>
        <w:rPr/>
        <w:br/>
      </w:r>
    </w:p>
    <w:p>
      <w:pPr>
        <w:numPr>
          <w:ilvl w:val="2"/>
          <w:numId w:val="77"/>
        </w:numPr>
      </w:pPr>
      <w:r>
        <w:rPr>
          <w:b/>
        </w:rPr>
        <w:t>Syndrome inflammatoire</w:t>
      </w:r>
    </w:p>
    <w:p>
      <w:pPr>
        <w:numPr>
          <w:ilvl w:val="3"/>
          <w:numId w:val="77"/>
        </w:numPr>
      </w:pPr>
      <w:r>
        <w:rPr/>
        <w:t>CRP &gt;24 mg/l (à partir de H12) (</w:t>
      </w:r>
      <w:r>
        <w:rPr>
          <w:i/>
        </w:rPr>
        <w:t xml:space="preserve">si &gt;70mg/l = indication d’une ponction lombaire) </w:t>
      </w:r>
    </w:p>
    <w:p>
      <w:pPr>
        <w:numPr>
          <w:ilvl w:val="3"/>
          <w:numId w:val="77"/>
        </w:numPr>
      </w:pPr>
      <w:r>
        <w:rPr/>
        <w:t>Fibrinémie</w:t>
      </w:r>
      <w:r>
        <w:rPr/>
        <w:t xml:space="preserve"> &gt; 3,5 g/l</w:t>
      </w:r>
    </w:p>
    <w:p>
      <w:pPr>
        <w:numPr>
          <w:ilvl w:val="3"/>
          <w:numId w:val="77"/>
        </w:numPr>
      </w:pPr>
      <w:r>
        <w:rPr/>
        <w:t>Procalcitonine &gt; 5µg/l</w:t>
      </w:r>
      <w:r>
        <w:rPr/>
        <w:br/>
      </w:r>
    </w:p>
    <w:p>
      <w:pPr>
        <w:numPr>
          <w:ilvl w:val="2"/>
          <w:numId w:val="77"/>
        </w:numPr>
      </w:pPr>
      <w:r>
        <w:rPr>
          <w:b/>
        </w:rPr>
        <w:t>Radiographie du thorax de face :</w:t>
      </w:r>
    </w:p>
    <w:p>
      <w:pPr>
        <w:numPr>
          <w:ilvl w:val="3"/>
          <w:numId w:val="77"/>
        </w:numPr>
      </w:pPr>
      <w:r>
        <w:rPr/>
        <w:t xml:space="preserve">Opacités denses micro ou </w:t>
      </w:r>
      <w:r>
        <w:rPr/>
        <w:t>macronodulaires</w:t>
      </w:r>
      <w:r>
        <w:rPr/>
        <w:t>, bilatérales (</w:t>
      </w:r>
      <w:r>
        <w:rPr>
          <w:i/>
        </w:rPr>
        <w:t>alvéolite)</w:t>
      </w:r>
    </w:p>
    <w:p>
      <w:pPr>
        <w:numPr>
          <w:ilvl w:val="3"/>
          <w:numId w:val="77"/>
        </w:numPr>
      </w:pPr>
      <w:r>
        <w:rPr/>
        <w:t>Syndrome alvéolaire avec fin granité</w:t>
      </w:r>
    </w:p>
    <w:p>
      <w:pPr>
        <w:numPr>
          <w:ilvl w:val="3"/>
          <w:numId w:val="77"/>
        </w:numPr>
      </w:pPr>
      <w:r>
        <w:rPr/>
        <w:t xml:space="preserve">Opacités </w:t>
      </w:r>
      <w:r>
        <w:rPr/>
        <w:t>péribronchiques</w:t>
      </w:r>
      <w:r>
        <w:rPr/>
        <w:t>, augmentation de la trame pulmonaire</w:t>
      </w:r>
      <w:r>
        <w:rPr/>
        <w:br/>
      </w:r>
    </w:p>
    <w:p>
      <w:pPr>
        <w:pStyle w:val="Heading4"/>
        <w:numPr>
          <w:ilvl w:val="0"/>
          <w:numId w:val="148"/>
        </w:numPr>
      </w:pPr>
      <w:r>
        <w:rPr/>
        <w:t>Bactériologie : arguments de certitude</w:t>
      </w:r>
    </w:p>
    <w:p>
      <w:pPr>
        <w:numPr>
          <w:ilvl w:val="2"/>
          <w:numId w:val="77"/>
        </w:numPr>
      </w:pPr>
      <w:r>
        <w:rPr>
          <w:b/>
        </w:rPr>
        <w:t>Prélèvements centraux (+)</w:t>
      </w:r>
    </w:p>
    <w:p>
      <w:pPr>
        <w:numPr>
          <w:ilvl w:val="3"/>
          <w:numId w:val="77"/>
        </w:numPr>
      </w:pPr>
      <w:r>
        <w:rPr>
          <w:b/>
        </w:rPr>
        <w:t>Hémocultures</w:t>
      </w:r>
    </w:p>
    <w:p>
      <w:pPr>
        <w:numPr>
          <w:ilvl w:val="3"/>
          <w:numId w:val="77"/>
        </w:numPr>
      </w:pPr>
      <w:r>
        <w:rPr>
          <w:b/>
        </w:rPr>
        <w:t>Ponction lombaire</w:t>
      </w:r>
    </w:p>
    <w:p>
      <w:pPr>
        <w:numPr>
          <w:ilvl w:val="3"/>
          <w:numId w:val="77"/>
        </w:numPr>
      </w:pPr>
      <w:r>
        <w:rPr/>
        <w:t>Urines (</w:t>
      </w:r>
      <w:r>
        <w:rPr>
          <w:i/>
        </w:rPr>
        <w:t>en dernière intention)</w:t>
      </w:r>
      <w:r>
        <w:rPr>
          <w:i/>
        </w:rPr>
        <w:br/>
      </w:r>
    </w:p>
    <w:p>
      <w:pPr>
        <w:numPr>
          <w:ilvl w:val="2"/>
          <w:numId w:val="77"/>
        </w:numPr>
      </w:pPr>
      <w:r>
        <w:rPr>
          <w:b/>
          <w:i/>
        </w:rPr>
        <w:t>Recherche d’</w:t>
      </w:r>
      <w:r>
        <w:rPr>
          <w:b/>
        </w:rPr>
        <w:t>Antigènes solubles : SGB, E. Coli, Listéria (+)</w:t>
      </w:r>
    </w:p>
    <w:p>
      <w:pPr>
        <w:numPr>
          <w:ilvl w:val="3"/>
          <w:numId w:val="77"/>
        </w:numPr>
      </w:pPr>
      <w:r>
        <w:rPr/>
        <w:t>Dans le sang, urine, ou LCR</w:t>
      </w:r>
      <w:r>
        <w:rPr/>
        <w:br/>
      </w:r>
    </w:p>
    <w:p>
      <w:pPr>
        <w:pStyle w:val="Heading2"/>
      </w:pPr>
      <w:r>
        <w:rPr/>
        <w:t>DIAGNOSTIC DE GRAVITE</w:t>
      </w:r>
    </w:p>
    <w:p>
      <w:pPr>
        <w:numPr>
          <w:ilvl w:val="0"/>
          <w:numId w:val="78"/>
        </w:numPr>
      </w:pPr>
      <w:r>
        <w:rPr/>
        <w:t>AEG</w:t>
      </w:r>
    </w:p>
    <w:p>
      <w:pPr>
        <w:numPr>
          <w:ilvl w:val="0"/>
          <w:numId w:val="78"/>
        </w:numPr>
      </w:pPr>
      <w:r>
        <w:rPr/>
        <w:t>Signes cliniques neuro</w:t>
      </w:r>
    </w:p>
    <w:p>
      <w:pPr>
        <w:numPr>
          <w:ilvl w:val="0"/>
          <w:numId w:val="78"/>
        </w:numPr>
      </w:pPr>
      <w:r>
        <w:rPr/>
        <w:t>Sepsis sévère dont CRP&gt; 70 mg/l</w:t>
      </w:r>
    </w:p>
    <w:p>
      <w:pPr>
        <w:numPr>
          <w:ilvl w:val="0"/>
          <w:numId w:val="78"/>
        </w:numPr>
      </w:pPr>
      <w:r>
        <w:rPr/>
        <w:t>CIVD</w:t>
      </w:r>
    </w:p>
    <w:p>
      <w:pPr>
        <w:numPr>
          <w:ilvl w:val="0"/>
          <w:numId w:val="78"/>
        </w:numPr>
      </w:pPr>
      <w:r>
        <w:rPr/>
        <w:t>Grande ou extrême prématurité</w:t>
      </w:r>
    </w:p>
    <w:p>
      <w:pPr/>
    </w:p>
    <w:p>
      <w:pPr>
        <w:pStyle w:val="Heading2"/>
      </w:pPr>
      <w:r>
        <w:rPr/>
        <w:t>DIAGNOSTIC DIFFERENTIEL</w:t>
      </w:r>
    </w:p>
    <w:p>
      <w:pPr>
        <w:pStyle w:val="Heading3"/>
      </w:pPr>
      <w:r>
        <w:rPr/>
        <w:t>Infections bactériennes secondaires acquises hospitalières</w:t>
      </w:r>
    </w:p>
    <w:p>
      <w:pPr>
        <w:numPr>
          <w:ilvl w:val="1"/>
          <w:numId w:val="79"/>
        </w:numPr>
      </w:pPr>
      <w:r>
        <w:rPr/>
        <w:t>Dues à des entérobactéries et aux staphylocoques (à coagulase négative)</w:t>
      </w:r>
    </w:p>
    <w:p>
      <w:pPr>
        <w:numPr>
          <w:ilvl w:val="1"/>
          <w:numId w:val="79"/>
        </w:numPr>
      </w:pPr>
      <w:r>
        <w:rPr/>
        <w:t>Contamination exogène ou manuportée</w:t>
      </w:r>
    </w:p>
    <w:p>
      <w:pPr>
        <w:numPr>
          <w:ilvl w:val="1"/>
          <w:numId w:val="79"/>
        </w:numPr>
      </w:pPr>
      <w:r>
        <w:rPr/>
        <w:t>Liées à des perturbations de l’écosystème bactérien intestinal induites par une antibiothérapie</w:t>
      </w:r>
    </w:p>
    <w:p>
      <w:pPr/>
    </w:p>
    <w:p>
      <w:pPr>
        <w:pStyle w:val="Heading2"/>
      </w:pPr>
      <w:r>
        <w:rPr/>
        <w:t>EVOLUTION</w:t>
      </w:r>
    </w:p>
    <w:p>
      <w:pPr>
        <w:numPr>
          <w:ilvl w:val="0"/>
          <w:numId w:val="80"/>
        </w:numPr>
      </w:pPr>
      <w:r>
        <w:rPr>
          <w:b/>
        </w:rPr>
        <w:t>Evolution favorable</w:t>
      </w:r>
    </w:p>
    <w:p>
      <w:pPr>
        <w:numPr>
          <w:ilvl w:val="1"/>
          <w:numId w:val="80"/>
        </w:numPr>
      </w:pPr>
      <w:r>
        <w:rPr/>
        <w:t>Si traitement précoce et bien adapté</w:t>
      </w:r>
      <w:r>
        <w:rPr/>
        <w:br/>
      </w:r>
    </w:p>
    <w:p>
      <w:pPr>
        <w:numPr>
          <w:ilvl w:val="0"/>
          <w:numId w:val="80"/>
        </w:numPr>
      </w:pPr>
      <w:r>
        <w:rPr>
          <w:b/>
        </w:rPr>
        <w:t xml:space="preserve">Evolution </w:t>
      </w:r>
      <w:r>
        <w:rPr>
          <w:b/>
        </w:rPr>
        <w:t>défavorable</w:t>
      </w:r>
    </w:p>
    <w:p>
      <w:pPr>
        <w:numPr>
          <w:ilvl w:val="1"/>
          <w:numId w:val="80"/>
        </w:numPr>
      </w:pPr>
      <w:r>
        <w:rPr/>
        <w:t>Complications : troubles sévères de l’hémostase -&gt; CIVD -&gt; 40% de décè</w:t>
      </w:r>
      <w:r>
        <w:rPr/>
        <w:t>s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149"/>
        </w:numPr>
      </w:pPr>
      <w:r>
        <w:rPr/>
        <w:t>Traitement curatif</w:t>
      </w:r>
    </w:p>
    <w:p>
      <w:pPr>
        <w:pStyle w:val="Heading4"/>
        <w:numPr>
          <w:ilvl w:val="0"/>
          <w:numId w:val="150"/>
        </w:numPr>
      </w:pPr>
      <w:r>
        <w:rPr/>
        <w:t>Buts</w:t>
      </w:r>
    </w:p>
    <w:p>
      <w:pPr>
        <w:numPr>
          <w:ilvl w:val="2"/>
          <w:numId w:val="81"/>
        </w:numPr>
      </w:pPr>
      <w:r>
        <w:rPr/>
        <w:t>Remonter l’état général (</w:t>
      </w:r>
      <w:r>
        <w:rPr>
          <w:i/>
        </w:rPr>
        <w:t>stabilité hémodynamique)</w:t>
      </w:r>
    </w:p>
    <w:p>
      <w:pPr>
        <w:numPr>
          <w:ilvl w:val="2"/>
          <w:numId w:val="81"/>
        </w:numPr>
      </w:pPr>
      <w:r>
        <w:rPr/>
        <w:t>Eradiquer l’infection</w:t>
      </w:r>
    </w:p>
    <w:p>
      <w:pPr>
        <w:numPr>
          <w:ilvl w:val="2"/>
          <w:numId w:val="81"/>
        </w:numPr>
      </w:pPr>
      <w:r>
        <w:rPr/>
        <w:t>Eviter les séquelles éventuelles</w:t>
      </w:r>
      <w:r>
        <w:rPr/>
        <w:br/>
      </w:r>
    </w:p>
    <w:p>
      <w:pPr>
        <w:pStyle w:val="Heading4"/>
        <w:numPr>
          <w:ilvl w:val="0"/>
          <w:numId w:val="150"/>
        </w:numPr>
      </w:pPr>
      <w:r>
        <w:rPr/>
        <w:t>Moyens thérapeutiques et indications</w:t>
      </w:r>
    </w:p>
    <w:p>
      <w:pPr>
        <w:pStyle w:val="Heading5"/>
        <w:numPr>
          <w:ilvl w:val="0"/>
          <w:numId w:val="151"/>
        </w:numPr>
      </w:pPr>
      <w:r>
        <w:rPr/>
        <w:t>Mesures générales</w:t>
      </w:r>
    </w:p>
    <w:p>
      <w:pPr>
        <w:numPr>
          <w:ilvl w:val="3"/>
          <w:numId w:val="81"/>
        </w:numPr>
      </w:pPr>
      <w:r>
        <w:rPr/>
        <w:t>Hospitalisation (</w:t>
      </w:r>
      <w:r>
        <w:rPr>
          <w:i/>
        </w:rPr>
        <w:t>de règle)</w:t>
      </w:r>
    </w:p>
    <w:p>
      <w:pPr>
        <w:numPr>
          <w:ilvl w:val="3"/>
          <w:numId w:val="81"/>
        </w:numPr>
      </w:pPr>
      <w:r>
        <w:rPr/>
        <w:t>Hygiène rigoureuse</w:t>
      </w:r>
    </w:p>
    <w:p>
      <w:pPr>
        <w:numPr>
          <w:ilvl w:val="3"/>
          <w:numId w:val="81"/>
        </w:numPr>
      </w:pPr>
      <w:r>
        <w:rPr/>
        <w:t>Maintien d’une température stable, de la glycémie, de l’hydratation</w:t>
      </w:r>
    </w:p>
    <w:p>
      <w:pPr>
        <w:numPr>
          <w:ilvl w:val="3"/>
          <w:numId w:val="81"/>
        </w:numPr>
      </w:pPr>
      <w:r>
        <w:rPr/>
        <w:t>Monitorage des fonctions vitales</w:t>
      </w:r>
    </w:p>
    <w:p>
      <w:pPr>
        <w:numPr>
          <w:ilvl w:val="3"/>
          <w:numId w:val="81"/>
        </w:numPr>
      </w:pPr>
      <w:r>
        <w:rPr/>
        <w:t>Maintien d’une hématose correcte par oxygénation contrôlée</w:t>
      </w:r>
    </w:p>
    <w:p>
      <w:pPr>
        <w:numPr>
          <w:ilvl w:val="3"/>
          <w:numId w:val="81"/>
        </w:numPr>
      </w:pPr>
      <w:r>
        <w:rPr/>
        <w:t>Apport calorique correct</w:t>
      </w:r>
      <w:r>
        <w:rPr/>
        <w:br/>
      </w:r>
    </w:p>
    <w:p>
      <w:pPr>
        <w:pStyle w:val="Heading5"/>
        <w:numPr>
          <w:ilvl w:val="0"/>
          <w:numId w:val="151"/>
        </w:numPr>
      </w:pPr>
      <w:r>
        <w:rPr/>
        <w:t>Antibiotiques IV</w:t>
      </w:r>
    </w:p>
    <w:p>
      <w:pPr>
        <w:numPr>
          <w:ilvl w:val="3"/>
          <w:numId w:val="81"/>
        </w:numPr>
      </w:pPr>
      <w:r>
        <w:rPr/>
        <w:t>Pénicilline A -&gt; streptocoque, Listéria</w:t>
      </w:r>
    </w:p>
    <w:p>
      <w:pPr>
        <w:numPr>
          <w:ilvl w:val="4"/>
          <w:numId w:val="81"/>
        </w:numPr>
      </w:pPr>
      <w:r>
        <w:rPr/>
        <w:t>Ampicilline : 100 à 200 mg/kg en IVD (2-4 x/j)</w:t>
      </w:r>
    </w:p>
    <w:p>
      <w:pPr>
        <w:numPr>
          <w:ilvl w:val="3"/>
          <w:numId w:val="81"/>
        </w:numPr>
      </w:pPr>
      <w:r>
        <w:rPr/>
        <w:t>C3G -&gt; Streptocoque, E. Coli</w:t>
      </w:r>
    </w:p>
    <w:p>
      <w:pPr>
        <w:numPr>
          <w:ilvl w:val="4"/>
          <w:numId w:val="81"/>
        </w:numPr>
      </w:pPr>
      <w:r>
        <w:rPr>
          <w:b/>
        </w:rPr>
        <w:t>Céfotaxime</w:t>
      </w:r>
      <w:r>
        <w:rPr>
          <w:b/>
        </w:rPr>
        <w:t xml:space="preserve"> </w:t>
      </w:r>
      <w:r>
        <w:rPr/>
        <w:t>100 à 200 mg/kg/j en IVD (2-3 x/j)</w:t>
      </w:r>
    </w:p>
    <w:p>
      <w:pPr>
        <w:numPr>
          <w:ilvl w:val="4"/>
          <w:numId w:val="81"/>
        </w:numPr>
      </w:pPr>
      <w:r>
        <w:rPr>
          <w:b/>
          <w:i/>
        </w:rPr>
        <w:t>Ceftriaxone = CONTRE-INDIQUEE</w:t>
      </w:r>
    </w:p>
    <w:p>
      <w:pPr>
        <w:numPr>
          <w:ilvl w:val="3"/>
          <w:numId w:val="81"/>
        </w:numPr>
      </w:pPr>
      <w:r>
        <w:rPr/>
        <w:t>Aminoside : (en 48</w:t>
      </w:r>
      <w:r>
        <w:rPr/>
        <w:t>h ;</w:t>
      </w:r>
      <w:r>
        <w:rPr/>
        <w:t xml:space="preserve"> 5j au max) -&gt; Synergique aux autres</w:t>
      </w:r>
    </w:p>
    <w:p>
      <w:pPr>
        <w:numPr>
          <w:ilvl w:val="4"/>
          <w:numId w:val="81"/>
        </w:numPr>
      </w:pPr>
      <w:r>
        <w:rPr/>
        <w:t>Gentamicine : 3 à 5 mg/kg en IVL sur 20 min ou IM (1 x/j)</w:t>
      </w:r>
    </w:p>
    <w:p>
      <w:pPr>
        <w:numPr>
          <w:ilvl w:val="4"/>
          <w:numId w:val="81"/>
        </w:numPr>
      </w:pPr>
      <w:r>
        <w:rPr/>
        <w:t>Nétilmicine</w:t>
      </w:r>
      <w:r>
        <w:rPr/>
        <w:t xml:space="preserve"> : 6-7,5 mg/kg/j en IVL sur 20 min ou IM (1 x/j)</w:t>
      </w:r>
    </w:p>
    <w:p>
      <w:pPr>
        <w:pStyle w:val="Heading6"/>
      </w:pPr>
      <w:r>
        <w:rPr/>
        <w:t>Durée du traitement</w:t>
      </w:r>
    </w:p>
    <w:p>
      <w:pPr>
        <w:numPr>
          <w:ilvl w:val="3"/>
          <w:numId w:val="81"/>
        </w:numPr>
      </w:pPr>
      <w:r>
        <w:rPr/>
        <w:t>Infection précoce sans signe de gravité : 7 jours</w:t>
      </w:r>
    </w:p>
    <w:p>
      <w:pPr>
        <w:numPr>
          <w:ilvl w:val="3"/>
          <w:numId w:val="81"/>
        </w:numPr>
      </w:pPr>
      <w:r>
        <w:rPr/>
        <w:t>Septicémie, pneumonie ou infection urinaire : 14 jours</w:t>
      </w:r>
    </w:p>
    <w:p>
      <w:pPr>
        <w:numPr>
          <w:ilvl w:val="3"/>
          <w:numId w:val="81"/>
        </w:numPr>
      </w:pPr>
      <w:r>
        <w:rPr/>
        <w:t>Méningite néonatale : 21 jours</w:t>
      </w:r>
    </w:p>
    <w:p>
      <w:pPr>
        <w:numPr>
          <w:ilvl w:val="3"/>
          <w:numId w:val="81"/>
        </w:numPr>
      </w:pPr>
      <w:r>
        <w:rPr/>
        <w:t xml:space="preserve">Infection </w:t>
      </w:r>
      <w:r>
        <w:rPr/>
        <w:t>ostéo-articulaire</w:t>
      </w:r>
      <w:r>
        <w:rPr/>
        <w:t xml:space="preserve"> : 3 mois</w:t>
      </w:r>
      <w:r>
        <w:rPr/>
        <w:br/>
      </w:r>
    </w:p>
    <w:p>
      <w:pPr>
        <w:pStyle w:val="Heading4"/>
        <w:numPr>
          <w:ilvl w:val="0"/>
          <w:numId w:val="150"/>
        </w:numPr>
      </w:pPr>
      <w:r>
        <w:rPr/>
        <w:t>Surveillance</w:t>
      </w:r>
    </w:p>
    <w:p>
      <w:pPr>
        <w:pStyle w:val="Heading5"/>
        <w:numPr>
          <w:ilvl w:val="0"/>
          <w:numId w:val="152"/>
        </w:numPr>
      </w:pPr>
      <w:r>
        <w:rPr/>
        <w:t>Clinique</w:t>
      </w:r>
    </w:p>
    <w:p>
      <w:pPr>
        <w:numPr>
          <w:ilvl w:val="3"/>
          <w:numId w:val="81"/>
        </w:numPr>
      </w:pPr>
      <w:r>
        <w:rPr/>
        <w:t>T°, TA, FC, FR, SaO2</w:t>
      </w:r>
    </w:p>
    <w:p>
      <w:pPr>
        <w:numPr>
          <w:ilvl w:val="3"/>
          <w:numId w:val="81"/>
        </w:numPr>
      </w:pPr>
      <w:r>
        <w:rPr/>
        <w:t>Cardio-respiratoire, neurologique</w:t>
      </w:r>
    </w:p>
    <w:p>
      <w:pPr>
        <w:numPr>
          <w:ilvl w:val="3"/>
          <w:numId w:val="81"/>
        </w:numPr>
      </w:pPr>
      <w:r>
        <w:rPr/>
        <w:t xml:space="preserve">Etat </w:t>
      </w:r>
      <w:r>
        <w:rPr/>
        <w:t>hydroélectrolytique</w:t>
      </w:r>
      <w:r>
        <w:rPr/>
        <w:br/>
      </w:r>
    </w:p>
    <w:p>
      <w:pPr>
        <w:pStyle w:val="Heading5"/>
        <w:numPr>
          <w:ilvl w:val="0"/>
          <w:numId w:val="152"/>
        </w:numPr>
      </w:pPr>
      <w:r>
        <w:rPr/>
        <w:t>Paraclinique</w:t>
      </w:r>
    </w:p>
    <w:p>
      <w:pPr>
        <w:numPr>
          <w:ilvl w:val="3"/>
          <w:numId w:val="81"/>
        </w:numPr>
      </w:pPr>
      <w:r>
        <w:rPr/>
        <w:t>CRP (</w:t>
      </w:r>
      <w:r>
        <w:rPr>
          <w:i/>
        </w:rPr>
        <w:t>pour la cinétique)</w:t>
      </w:r>
    </w:p>
    <w:p>
      <w:pPr>
        <w:numPr>
          <w:ilvl w:val="3"/>
          <w:numId w:val="81"/>
        </w:numPr>
      </w:pPr>
      <w:r>
        <w:rPr/>
        <w:t>ECBU (</w:t>
      </w:r>
      <w:r>
        <w:rPr>
          <w:i/>
        </w:rPr>
        <w:t>si non fait au début et ATB ne marchent pas</w:t>
      </w:r>
    </w:p>
    <w:p>
      <w:pPr>
        <w:numPr>
          <w:ilvl w:val="3"/>
          <w:numId w:val="81"/>
        </w:numPr>
      </w:pPr>
      <w:r>
        <w:rPr/>
        <w:t>LCR (</w:t>
      </w:r>
      <w:r>
        <w:rPr>
          <w:i/>
        </w:rPr>
        <w:t>si suspicion infection secondaire</w:t>
      </w:r>
      <w:r>
        <w:rPr>
          <w:i/>
        </w:rPr>
        <w:br/>
      </w:r>
    </w:p>
    <w:p>
      <w:pPr>
        <w:pStyle w:val="Heading3"/>
        <w:numPr>
          <w:ilvl w:val="0"/>
          <w:numId w:val="149"/>
        </w:numPr>
      </w:pPr>
      <w:r>
        <w:rPr/>
        <w:t>Traitement préventif</w:t>
      </w:r>
    </w:p>
    <w:p>
      <w:pPr>
        <w:numPr>
          <w:ilvl w:val="1"/>
          <w:numId w:val="81"/>
        </w:numPr>
      </w:pPr>
      <w:r>
        <w:rPr/>
        <w:t>Suivi rigoureux de la grossesse</w:t>
      </w:r>
    </w:p>
    <w:p>
      <w:pPr>
        <w:numPr>
          <w:ilvl w:val="1"/>
          <w:numId w:val="81"/>
        </w:numPr>
      </w:pPr>
      <w:r>
        <w:rPr/>
        <w:t>Dépistage et traitement des épisodes infectieuses chez la femme enceinte</w:t>
      </w:r>
    </w:p>
    <w:p>
      <w:pPr>
        <w:numPr>
          <w:ilvl w:val="1"/>
          <w:numId w:val="81"/>
        </w:numPr>
      </w:pPr>
      <w:r>
        <w:rPr/>
        <w:t>Respect des règles d’hygiène et d’asepsie lors de l’accouchement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82"/>
        </w:numPr>
      </w:pPr>
      <w:r>
        <w:rPr/>
        <w:t>INBP :</w:t>
      </w:r>
      <w:r>
        <w:rPr/>
        <w:t xml:space="preserve"> fréquente, urgente et grave</w:t>
      </w:r>
    </w:p>
    <w:p>
      <w:pPr>
        <w:numPr>
          <w:ilvl w:val="0"/>
          <w:numId w:val="82"/>
        </w:numPr>
      </w:pPr>
      <w:r>
        <w:rPr/>
        <w:t>Probabilité de l’infection repose sur les arguments anamnestiques, cliniques et biologiques</w:t>
      </w:r>
    </w:p>
    <w:p>
      <w:pPr>
        <w:numPr>
          <w:ilvl w:val="0"/>
          <w:numId w:val="82"/>
        </w:numPr>
      </w:pPr>
      <w:r>
        <w:rPr/>
        <w:t>Traitement curatif : antibiothérapie précoce dès la suspicion</w:t>
      </w:r>
    </w:p>
    <w:p>
      <w:pPr>
        <w:numPr>
          <w:ilvl w:val="0"/>
          <w:numId w:val="82"/>
        </w:numPr>
      </w:pPr>
      <w:r>
        <w:rPr/>
        <w:t>Prévention systématique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