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MARASME</w:t>
      </w:r>
    </w:p>
    <w:p>
      <w:pPr>
        <w:numPr>
          <w:ilvl w:val="0"/>
          <w:numId w:val="34"/>
        </w:numPr>
      </w:pPr>
      <w:r>
        <w:rPr>
          <w:b/>
        </w:rPr>
        <w:t>Enfant très amaigri</w:t>
      </w:r>
    </w:p>
    <w:p>
      <w:pPr>
        <w:numPr>
          <w:ilvl w:val="0"/>
          <w:numId w:val="34"/>
        </w:numPr>
      </w:pPr>
      <w:r>
        <w:rPr/>
        <w:t>Fonte musculaire : joues, fesses, loge des adducteurs de la cuisse (</w:t>
      </w:r>
      <w:r>
        <w:rPr>
          <w:i/>
        </w:rPr>
        <w:t xml:space="preserve">creux) </w:t>
      </w:r>
    </w:p>
    <w:p>
      <w:pPr>
        <w:numPr>
          <w:ilvl w:val="0"/>
          <w:numId w:val="34"/>
        </w:numPr>
      </w:pPr>
      <w:r>
        <w:rPr/>
        <w:t>Peau fine, flasque, plissée donnant un aspect vieillot</w:t>
      </w:r>
    </w:p>
    <w:p>
      <w:pPr>
        <w:numPr>
          <w:ilvl w:val="0"/>
          <w:numId w:val="34"/>
        </w:numPr>
      </w:pPr>
      <w:r>
        <w:rPr/>
        <w:t>Éveillé, regard vif et a faim (</w:t>
      </w:r>
      <w:r>
        <w:rPr>
          <w:i/>
        </w:rPr>
        <w:t xml:space="preserve">réclame à manger) </w:t>
      </w:r>
    </w:p>
    <w:p>
      <w:pPr>
        <w:ind w:left="360"/>
      </w:pPr>
      <w:r>
        <w:drawing>
          <wp:inline xmlns:a="http://schemas.openxmlformats.org/drawingml/2006/main" xmlns:pic="http://schemas.openxmlformats.org/drawingml/2006/picture">
            <wp:extent cx="23088600" cy="17284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88600" cy="1728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