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OREILLONS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9"/>
        </w:numPr>
      </w:pPr>
      <w:r>
        <w:rPr/>
        <w:t>Connaître les arguments diagnostiques d'oreillons chez l'enfant : interrogatoire, examen physique +/- paracliniques</w:t>
      </w:r>
    </w:p>
    <w:p>
      <w:pPr>
        <w:numPr>
          <w:ilvl w:val="0"/>
          <w:numId w:val="9"/>
        </w:numPr>
      </w:pPr>
      <w:r>
        <w:rPr/>
        <w:t>Enumérer les complications les plus fréquentes de l'oreillon chez l'enfant</w:t>
      </w:r>
    </w:p>
    <w:p>
      <w:pPr>
        <w:numPr>
          <w:ilvl w:val="0"/>
          <w:numId w:val="9"/>
        </w:numPr>
      </w:pPr>
      <w:r>
        <w:rPr/>
        <w:t>Connaître les indications de bilan paraclinique au cours de l'oreillons</w:t>
      </w:r>
    </w:p>
    <w:p>
      <w:pPr>
        <w:numPr>
          <w:ilvl w:val="0"/>
          <w:numId w:val="9"/>
        </w:numPr>
      </w:pPr>
      <w:r>
        <w:rPr/>
        <w:t>Citer 4 diagnostics différentiels de parotidite ourlienne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10"/>
        </w:numPr>
      </w:pPr>
      <w:r>
        <w:rPr/>
        <w:t xml:space="preserve">Affection virale aiguë, contagieuse et systématique, entraînant habituellement une tuméfaction douloureuse des glandes salivaires (parotides) </w:t>
      </w:r>
    </w:p>
    <w:p>
      <w:pPr>
        <w:numPr>
          <w:ilvl w:val="1"/>
          <w:numId w:val="10"/>
        </w:numPr>
      </w:pPr>
      <w:r>
        <w:rPr>
          <w:b/>
        </w:rPr>
        <w:t xml:space="preserve">Maladie immunisante </w:t>
      </w:r>
      <w:r>
        <w:rPr/>
        <w:t>(immunité permanente) Vaccin ou germe</w:t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10"/>
        </w:numPr>
      </w:pPr>
      <w:r>
        <w:rPr/>
        <w:t>Infection rare avant 2 ans</w:t>
      </w:r>
    </w:p>
    <w:p>
      <w:pPr>
        <w:numPr>
          <w:ilvl w:val="1"/>
          <w:numId w:val="10"/>
        </w:numPr>
      </w:pPr>
      <w:r>
        <w:rPr/>
        <w:t>Endémique dans le monde, épidémiologie transformée depuis la vaccination anti-ourlienne</w:t>
      </w:r>
    </w:p>
    <w:p>
      <w:pPr>
        <w:numPr>
          <w:ilvl w:val="1"/>
          <w:numId w:val="10"/>
        </w:numPr>
      </w:pPr>
      <w:r>
        <w:rPr/>
        <w:t>Gravité : orchite ourlienne, méningo-encéphalite et pancréatite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56"/>
        </w:numPr>
      </w:pPr>
      <w:r>
        <w:rPr/>
        <w:t>Clinique :</w:t>
      </w:r>
    </w:p>
    <w:p>
      <w:pPr>
        <w:numPr>
          <w:ilvl w:val="1"/>
          <w:numId w:val="11"/>
        </w:numPr>
      </w:pPr>
      <w:r>
        <w:rPr>
          <w:b/>
        </w:rPr>
        <w:t>Elément essentiel du diagnostic</w:t>
      </w:r>
      <w:r>
        <w:rPr>
          <w:b/>
        </w:rPr>
        <w:t xml:space="preserve"> </w:t>
      </w:r>
      <w:r>
        <w:rPr>
          <w:b/>
        </w:rPr>
        <w:t>:</w:t>
      </w:r>
    </w:p>
    <w:p>
      <w:pPr>
        <w:numPr>
          <w:ilvl w:val="2"/>
          <w:numId w:val="11"/>
        </w:numPr>
      </w:pPr>
      <w:r>
        <w:rPr/>
        <w:t>Contage récent et/ou absence de vaccination ou vaccination incomplète</w:t>
      </w:r>
    </w:p>
    <w:p>
      <w:pPr>
        <w:numPr>
          <w:ilvl w:val="2"/>
          <w:numId w:val="11"/>
        </w:numPr>
      </w:pPr>
      <w:r>
        <w:rPr/>
        <w:t xml:space="preserve">Incubation : longue : 15-24 jours (moyenne=19 jours) </w:t>
      </w:r>
    </w:p>
    <w:p>
      <w:pPr>
        <w:numPr>
          <w:ilvl w:val="2"/>
          <w:numId w:val="11"/>
        </w:numPr>
      </w:pPr>
      <w:r>
        <w:rPr/>
        <w:t xml:space="preserve">Invasion : brève, 24-48H : </w:t>
      </w:r>
      <w:r>
        <w:rPr>
          <w:b/>
        </w:rPr>
        <w:t>fièvre modérée, otalgie, gène à la mastication</w:t>
      </w:r>
    </w:p>
    <w:p>
      <w:pPr>
        <w:numPr>
          <w:ilvl w:val="2"/>
          <w:numId w:val="11"/>
        </w:numPr>
      </w:pPr>
      <w:r>
        <w:rPr/>
        <w:t xml:space="preserve">Phase d'état : </w:t>
      </w:r>
      <w:r>
        <w:rPr>
          <w:b/>
        </w:rPr>
        <w:t xml:space="preserve">parotidite ourlienne (70% des cas) </w:t>
      </w:r>
    </w:p>
    <w:p>
      <w:pPr>
        <w:numPr>
          <w:ilvl w:val="2"/>
          <w:numId w:val="11"/>
        </w:numPr>
      </w:pPr>
      <w:r>
        <w:rPr/>
        <w:t xml:space="preserve">Guérison spontanée : en 8-10 jours </w:t>
      </w:r>
      <w:r>
        <w:rPr/>
        <w:br/>
      </w:r>
    </w:p>
    <w:p>
      <w:pPr>
        <w:pStyle w:val="Heading4"/>
        <w:numPr>
          <w:ilvl w:val="0"/>
          <w:numId w:val="54"/>
        </w:numPr>
      </w:pPr>
      <w:r>
        <w:rPr/>
        <w:t>Parotidite ourlienne</w:t>
      </w:r>
    </w:p>
    <w:p>
      <w:pPr>
        <w:numPr>
          <w:ilvl w:val="2"/>
          <w:numId w:val="11"/>
        </w:numPr>
      </w:pPr>
      <w:r>
        <w:rPr>
          <w:b/>
        </w:rPr>
        <w:t xml:space="preserve">Inflammation parotidienne, </w:t>
      </w:r>
      <w:r>
        <w:rPr/>
        <w:t xml:space="preserve">d'abord unilatérale puis </w:t>
      </w:r>
      <w:r>
        <w:rPr>
          <w:b/>
        </w:rPr>
        <w:t xml:space="preserve">bilatérale </w:t>
      </w:r>
      <w:r>
        <w:rPr/>
        <w:t xml:space="preserve">refoulant le lobule de l'oreille en faut et en dehors ; </w:t>
      </w:r>
      <w:r>
        <w:rPr>
          <w:b/>
        </w:rPr>
        <w:t xml:space="preserve">comblement du sillon </w:t>
      </w:r>
      <w:r>
        <w:rPr>
          <w:b/>
        </w:rPr>
        <w:t>rétro maxillaire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  <w:i/>
        </w:rPr>
        <w:t>différentiel :</w:t>
      </w:r>
      <w:r>
        <w:rPr>
          <w:b/>
          <w:i/>
        </w:rPr>
        <w:t xml:space="preserve"> adénite)</w:t>
      </w:r>
      <w:r>
        <w:rPr>
          <w:b/>
        </w:rPr>
        <w:t xml:space="preserve"> </w:t>
      </w:r>
      <w:r>
        <w:rPr/>
        <w:t xml:space="preserve">pouvant donner au visage un aspect en forme de </w:t>
      </w:r>
      <w:r>
        <w:rPr>
          <w:b/>
        </w:rPr>
        <w:t>poire</w:t>
      </w:r>
      <w:r>
        <w:rPr>
          <w:b/>
        </w:rPr>
        <w:br/>
      </w:r>
    </w:p>
    <w:p>
      <w:pPr>
        <w:pStyle w:val="Heading5"/>
        <w:numPr>
          <w:ilvl w:val="1"/>
          <w:numId w:val="11"/>
        </w:numPr>
      </w:pPr>
      <w:r>
        <w:rPr/>
        <w:t>Examen</w:t>
      </w:r>
      <w:r>
        <w:rPr/>
        <w:t xml:space="preserve"> :</w:t>
      </w:r>
    </w:p>
    <w:p>
      <w:pPr>
        <w:numPr>
          <w:ilvl w:val="2"/>
          <w:numId w:val="11"/>
        </w:numPr>
      </w:pPr>
      <w:r>
        <w:rPr/>
        <w:t xml:space="preserve">SG peu marqués chez le petit enfant, plus marqués chez l'adolescent : </w:t>
      </w:r>
      <w:r>
        <w:rPr>
          <w:i/>
        </w:rPr>
        <w:t>fièvre modérée, AEG, refus d'alimentation</w:t>
      </w:r>
    </w:p>
    <w:p>
      <w:pPr>
        <w:numPr>
          <w:ilvl w:val="2"/>
          <w:numId w:val="11"/>
        </w:numPr>
      </w:pPr>
      <w:r>
        <w:rPr/>
        <w:t xml:space="preserve">Turgescence de l'orifice du canal de </w:t>
      </w:r>
      <w:r>
        <w:rPr/>
        <w:t>Sténnon</w:t>
      </w:r>
    </w:p>
    <w:p>
      <w:pPr>
        <w:numPr>
          <w:ilvl w:val="2"/>
          <w:numId w:val="11"/>
        </w:numPr>
      </w:pPr>
      <w:r>
        <w:rPr>
          <w:b/>
        </w:rPr>
        <w:t>Glandes parotides douloureuses</w:t>
      </w:r>
    </w:p>
    <w:p>
      <w:pPr>
        <w:numPr>
          <w:ilvl w:val="2"/>
          <w:numId w:val="11"/>
        </w:numPr>
      </w:pPr>
      <w:r>
        <w:rPr/>
        <w:t>Autres signes associés</w:t>
      </w:r>
    </w:p>
    <w:p>
      <w:pPr>
        <w:numPr>
          <w:ilvl w:val="3"/>
          <w:numId w:val="11"/>
        </w:numPr>
      </w:pPr>
      <w:r>
        <w:rPr/>
        <w:t>Pharyngite</w:t>
      </w:r>
    </w:p>
    <w:p>
      <w:pPr>
        <w:numPr>
          <w:ilvl w:val="3"/>
          <w:numId w:val="11"/>
        </w:numPr>
      </w:pPr>
      <w:r>
        <w:rPr/>
        <w:t xml:space="preserve">ADP </w:t>
      </w:r>
      <w:r>
        <w:rPr/>
        <w:t>pré tragiennes</w:t>
      </w:r>
      <w:r>
        <w:rPr/>
        <w:t xml:space="preserve"> et sous-</w:t>
      </w:r>
      <w:r>
        <w:rPr/>
        <w:t>angulo</w:t>
      </w:r>
      <w:r>
        <w:rPr/>
        <w:t>-maxillaires</w:t>
      </w:r>
    </w:p>
    <w:p>
      <w:pPr>
        <w:numPr>
          <w:ilvl w:val="3"/>
          <w:numId w:val="11"/>
        </w:numPr>
      </w:pPr>
      <w:r>
        <w:rPr/>
        <w:t>Atteinte des glandes sous-maxillaires et sublinguales</w:t>
      </w:r>
    </w:p>
    <w:p>
      <w:pPr>
        <w:numPr>
          <w:ilvl w:val="3"/>
          <w:numId w:val="11"/>
        </w:numPr>
      </w:pPr>
      <w:r>
        <w:rPr/>
        <w:t>Céphalées</w:t>
      </w:r>
    </w:p>
    <w:p>
      <w:pPr>
        <w:pStyle w:val="Heading4"/>
        <w:numPr>
          <w:ilvl w:val="0"/>
          <w:numId w:val="54"/>
        </w:numPr>
      </w:pPr>
      <w:r>
        <w:rPr/>
        <w:t xml:space="preserve">Autres formes cliniques et </w:t>
      </w:r>
      <w:r>
        <w:rPr/>
        <w:t>complications :</w:t>
      </w:r>
      <w:r>
        <w:rPr/>
        <w:t xml:space="preserve"> </w:t>
      </w:r>
    </w:p>
    <w:p>
      <w:pPr>
        <w:numPr>
          <w:ilvl w:val="2"/>
          <w:numId w:val="11"/>
        </w:numPr>
      </w:pPr>
      <w:r>
        <w:rPr/>
        <w:t>Localisation glandulaires extra-salivaires ou localisations extra-glandulaires (</w:t>
      </w:r>
      <w:r>
        <w:rPr>
          <w:i/>
        </w:rPr>
        <w:t xml:space="preserve">cerveau) </w:t>
      </w:r>
    </w:p>
    <w:p>
      <w:pPr>
        <w:numPr>
          <w:ilvl w:val="2"/>
          <w:numId w:val="11"/>
        </w:numPr>
      </w:pPr>
      <w:r>
        <w:rPr/>
        <w:t>Pouvant apparaître avant la parotidite ourlienne ou accompagner la parotidite ourlienne ou être isolées</w:t>
      </w:r>
      <w:r>
        <w:rPr/>
        <w:br/>
      </w:r>
    </w:p>
    <w:p>
      <w:pPr>
        <w:pStyle w:val="Heading5"/>
        <w:numPr>
          <w:ilvl w:val="0"/>
          <w:numId w:val="55"/>
        </w:numPr>
      </w:pPr>
      <w:r>
        <w:rPr/>
        <w:t>Orchite et/ou épididymite ourlienne : 20% des cas (</w:t>
      </w:r>
      <w:r>
        <w:rPr>
          <w:i/>
        </w:rPr>
        <w:t xml:space="preserve">différentiel : torsion testiculaire) </w:t>
      </w:r>
    </w:p>
    <w:p>
      <w:pPr>
        <w:numPr>
          <w:ilvl w:val="2"/>
          <w:numId w:val="11"/>
        </w:numPr>
      </w:pPr>
      <w:r>
        <w:rPr/>
        <w:t>Chez le sujet pubère, 4-8 j après la parotidite</w:t>
      </w:r>
    </w:p>
    <w:p>
      <w:pPr>
        <w:numPr>
          <w:ilvl w:val="2"/>
          <w:numId w:val="11"/>
        </w:numPr>
      </w:pPr>
      <w:r>
        <w:rPr/>
        <w:t xml:space="preserve">Recrudescence fébrile, douleurs testiculaires à irradiation abdominale, Signe de </w:t>
      </w:r>
      <w:r>
        <w:rPr/>
        <w:t>Prehn</w:t>
      </w:r>
      <w:r>
        <w:rPr/>
        <w:t xml:space="preserve"> (-) </w:t>
      </w:r>
    </w:p>
    <w:p>
      <w:pPr>
        <w:numPr>
          <w:ilvl w:val="2"/>
          <w:numId w:val="11"/>
        </w:numPr>
      </w:pPr>
      <w:r>
        <w:rPr/>
        <w:t>Tuméfaction très douloureuse du testicule + réaction inflammatoire de la vaginale (transillumination), du scrotum voire du cordon spermatique</w:t>
      </w:r>
    </w:p>
    <w:p>
      <w:pPr>
        <w:numPr>
          <w:ilvl w:val="2"/>
          <w:numId w:val="11"/>
        </w:numPr>
      </w:pPr>
      <w:r>
        <w:rPr/>
        <w:t>Unilatérale le plus souvent</w:t>
      </w:r>
    </w:p>
    <w:p>
      <w:pPr>
        <w:numPr>
          <w:ilvl w:val="2"/>
          <w:numId w:val="11"/>
        </w:numPr>
      </w:pPr>
      <w:r>
        <w:rPr/>
        <w:t>Évolution favorable en 1-2 semaines</w:t>
      </w:r>
    </w:p>
    <w:p>
      <w:pPr>
        <w:numPr>
          <w:ilvl w:val="2"/>
          <w:numId w:val="11"/>
        </w:numPr>
      </w:pPr>
      <w:r>
        <w:rPr/>
        <w:t xml:space="preserve">Atrophie testiculaire séquellaire dans 50% des cas, </w:t>
      </w:r>
      <w:r>
        <w:rPr>
          <w:b/>
        </w:rPr>
        <w:t>stérilité rare</w:t>
      </w:r>
      <w:r>
        <w:rPr>
          <w:b/>
        </w:rPr>
        <w:br/>
      </w:r>
    </w:p>
    <w:p>
      <w:pPr>
        <w:pStyle w:val="Heading5"/>
        <w:numPr>
          <w:ilvl w:val="0"/>
          <w:numId w:val="55"/>
        </w:numPr>
      </w:pPr>
      <w:r>
        <w:rPr/>
        <w:t>Pancréatite ourlienne : 4% des cas</w:t>
      </w:r>
    </w:p>
    <w:p>
      <w:pPr>
        <w:numPr>
          <w:ilvl w:val="2"/>
          <w:numId w:val="11"/>
        </w:numPr>
      </w:pPr>
      <w:r>
        <w:rPr/>
        <w:t>Isolée ou succéder à la parotidite ourlienne</w:t>
      </w:r>
    </w:p>
    <w:p>
      <w:pPr>
        <w:numPr>
          <w:ilvl w:val="2"/>
          <w:numId w:val="11"/>
        </w:numPr>
      </w:pPr>
      <w:r>
        <w:rPr/>
        <w:t>Le plus souvent asymptomatique ou peu sévère</w:t>
      </w:r>
    </w:p>
    <w:p>
      <w:pPr>
        <w:numPr>
          <w:ilvl w:val="2"/>
          <w:numId w:val="11"/>
        </w:numPr>
      </w:pPr>
      <w:r>
        <w:rPr/>
        <w:t>Nausées intenses, vomissements et douleurs épigastriques vers la fin de la 1ère semaine</w:t>
      </w:r>
    </w:p>
    <w:p>
      <w:pPr>
        <w:numPr>
          <w:ilvl w:val="2"/>
          <w:numId w:val="11"/>
        </w:numPr>
      </w:pPr>
      <w:r>
        <w:rPr/>
        <w:t xml:space="preserve">Imagerie Scanner : </w:t>
      </w:r>
      <w:r>
        <w:rPr>
          <w:b/>
        </w:rPr>
        <w:t xml:space="preserve">pancréatite </w:t>
      </w:r>
      <w:r>
        <w:rPr>
          <w:b/>
        </w:rPr>
        <w:t>œdémateuse</w:t>
      </w:r>
    </w:p>
    <w:p>
      <w:pPr>
        <w:numPr>
          <w:ilvl w:val="2"/>
          <w:numId w:val="11"/>
        </w:numPr>
      </w:pPr>
      <w:r>
        <w:rPr>
          <w:b/>
        </w:rPr>
        <w:t>Guérison spontanée sans séquelles en 1 semaine</w:t>
      </w:r>
      <w:r>
        <w:rPr>
          <w:b/>
        </w:rPr>
        <w:br/>
      </w:r>
    </w:p>
    <w:p>
      <w:pPr>
        <w:pStyle w:val="Heading5"/>
        <w:numPr>
          <w:ilvl w:val="0"/>
          <w:numId w:val="55"/>
        </w:numPr>
      </w:pPr>
      <w:r>
        <w:rPr/>
        <w:t xml:space="preserve">Localisations </w:t>
      </w:r>
      <w:r>
        <w:rPr/>
        <w:t>neuroméningées</w:t>
      </w:r>
      <w:r>
        <w:rPr/>
        <w:t xml:space="preserve"> :</w:t>
      </w:r>
      <w:r>
        <w:rPr/>
        <w:t xml:space="preserve"> les plus fréquentes des localisations extra-glandulaires </w:t>
      </w:r>
    </w:p>
    <w:p>
      <w:pPr>
        <w:numPr>
          <w:ilvl w:val="2"/>
          <w:numId w:val="11"/>
        </w:numPr>
      </w:pPr>
      <w:r>
        <w:rPr>
          <w:b/>
        </w:rPr>
        <w:t xml:space="preserve">Méningite lymphocytaire : </w:t>
      </w:r>
      <w:r>
        <w:rPr>
          <w:b/>
          <w:i/>
        </w:rPr>
        <w:t xml:space="preserve">comme listériose, tuberculose </w:t>
      </w:r>
    </w:p>
    <w:p>
      <w:pPr>
        <w:numPr>
          <w:ilvl w:val="3"/>
          <w:numId w:val="11"/>
        </w:numPr>
      </w:pPr>
      <w:r>
        <w:rPr/>
        <w:t xml:space="preserve">Souvent </w:t>
      </w:r>
      <w:r>
        <w:rPr/>
        <w:t>infraclinique</w:t>
      </w:r>
      <w:r>
        <w:rPr/>
        <w:t>, 1-10% des cas</w:t>
      </w:r>
    </w:p>
    <w:p>
      <w:pPr>
        <w:numPr>
          <w:ilvl w:val="3"/>
          <w:numId w:val="11"/>
        </w:numPr>
      </w:pPr>
      <w:r>
        <w:rPr/>
        <w:t>Avant ou après la parotidite, sans atteinte glandulaire dans 1 cas sur 2</w:t>
      </w:r>
    </w:p>
    <w:p>
      <w:pPr>
        <w:numPr>
          <w:ilvl w:val="3"/>
          <w:numId w:val="11"/>
        </w:numPr>
      </w:pPr>
      <w:r>
        <w:rPr/>
        <w:t>Evolution favorable sans séquelle, pas d'indication d'antiviral</w:t>
      </w:r>
    </w:p>
    <w:p>
      <w:pPr>
        <w:numPr>
          <w:ilvl w:val="2"/>
          <w:numId w:val="11"/>
        </w:numPr>
      </w:pPr>
      <w:r>
        <w:rPr>
          <w:b/>
        </w:rPr>
        <w:t>Encéphalite</w:t>
      </w:r>
    </w:p>
    <w:p>
      <w:pPr>
        <w:numPr>
          <w:ilvl w:val="3"/>
          <w:numId w:val="11"/>
        </w:numPr>
      </w:pPr>
      <w:r>
        <w:rPr/>
        <w:t>Rare 1/5000 à 1/10.000 cas, décès dans 1-5% des cas</w:t>
      </w:r>
    </w:p>
    <w:p>
      <w:pPr>
        <w:numPr>
          <w:ilvl w:val="3"/>
          <w:numId w:val="11"/>
        </w:numPr>
      </w:pPr>
      <w:r>
        <w:rPr/>
        <w:t>Tableau d'encéphalite parfois prolongé (trouble de la vigilance, signes déficitaires, convulsions), surdité parfois définitive</w:t>
      </w:r>
    </w:p>
    <w:p>
      <w:pPr>
        <w:numPr>
          <w:ilvl w:val="3"/>
          <w:numId w:val="11"/>
        </w:numPr>
      </w:pPr>
      <w:r>
        <w:rPr/>
        <w:t xml:space="preserve">Possibilité de myélite et de polyradiculonévrite aiguë : </w:t>
      </w:r>
      <w:r>
        <w:rPr>
          <w:i/>
        </w:rPr>
        <w:t>Syndrome de Guillain Barré</w:t>
      </w:r>
    </w:p>
    <w:p>
      <w:pPr>
        <w:pStyle w:val="Heading5"/>
        <w:numPr>
          <w:ilvl w:val="0"/>
          <w:numId w:val="55"/>
        </w:numPr>
      </w:pPr>
      <w:r>
        <w:rPr/>
        <w:t>Complications</w:t>
      </w:r>
      <w:r>
        <w:rPr>
          <w:rFonts w:ascii="Arial" w:hAnsi="Arial"/>
        </w:rPr>
        <w:t xml:space="preserve"> rares</w:t>
      </w:r>
    </w:p>
    <w:p>
      <w:pPr>
        <w:numPr>
          <w:ilvl w:val="2"/>
          <w:numId w:val="11"/>
        </w:numPr>
      </w:pPr>
      <w:r>
        <w:rPr/>
        <w:t>Néphrites, conjonctivites, toute glande</w:t>
      </w:r>
      <w:r>
        <w:rPr/>
        <w:br/>
      </w:r>
    </w:p>
    <w:p>
      <w:pPr>
        <w:pStyle w:val="Heading3"/>
        <w:numPr>
          <w:ilvl w:val="0"/>
          <w:numId w:val="56"/>
        </w:numPr>
      </w:pPr>
      <w:r>
        <w:rPr/>
        <w:t>Examens paracliniques</w:t>
      </w:r>
    </w:p>
    <w:p>
      <w:pPr>
        <w:numPr>
          <w:ilvl w:val="1"/>
          <w:numId w:val="11"/>
        </w:numPr>
      </w:pPr>
      <w:r>
        <w:rPr/>
        <w:t>Inutiles qu'en cas de doute diagnostique : atteinte unilatérale, récidivante (VIH), patient vacciné ; ou de localisation extra-parotidienne isolée</w:t>
      </w:r>
    </w:p>
    <w:p>
      <w:pPr>
        <w:numPr>
          <w:ilvl w:val="1"/>
          <w:numId w:val="11"/>
        </w:numPr>
      </w:pPr>
      <w:r>
        <w:rPr/>
        <w:t xml:space="preserve">Orientation diagnostique : </w:t>
      </w:r>
      <w:r>
        <w:rPr>
          <w:b/>
        </w:rPr>
        <w:t xml:space="preserve">absence d'hyperleucocytose, </w:t>
      </w:r>
      <w:r>
        <w:rPr>
          <w:b/>
        </w:rPr>
        <w:t>hyperamilasémie</w:t>
      </w:r>
    </w:p>
    <w:p>
      <w:pPr>
        <w:numPr>
          <w:ilvl w:val="1"/>
          <w:numId w:val="11"/>
        </w:numPr>
      </w:pPr>
      <w:r>
        <w:rPr/>
        <w:t xml:space="preserve">Confirmation diagnostique : Détection du virus par RT-PCR (salive, sang, LCS dans les 4 premiers jours suivant le début des symptômes) ou </w:t>
      </w:r>
      <w:r>
        <w:rPr>
          <w:b/>
        </w:rPr>
        <w:t xml:space="preserve">sérologie </w:t>
      </w:r>
      <w:r>
        <w:rPr/>
        <w:t xml:space="preserve">(en l'absence de vaccination antérieure) </w:t>
      </w:r>
    </w:p>
    <w:p>
      <w:pPr/>
    </w:p>
    <w:p>
      <w:pPr>
        <w:pStyle w:val="Heading2"/>
      </w:pPr>
      <w:r>
        <w:rPr/>
        <w:t>DIAGNOSTIC DIFFÉRENTIEL</w:t>
      </w:r>
    </w:p>
    <w:p>
      <w:pPr>
        <w:numPr>
          <w:ilvl w:val="0"/>
          <w:numId w:val="12"/>
        </w:numPr>
      </w:pPr>
      <w:r>
        <w:rPr>
          <w:b/>
        </w:rPr>
        <w:t xml:space="preserve">Autres causes d'augmentation du volume de la glande parotide et des autres glandes salivaires </w:t>
      </w:r>
    </w:p>
    <w:p>
      <w:pPr>
        <w:numPr>
          <w:ilvl w:val="1"/>
          <w:numId w:val="12"/>
        </w:numPr>
      </w:pPr>
      <w:r>
        <w:rPr/>
        <w:t>Parotidite bactérienne suppurative</w:t>
      </w:r>
    </w:p>
    <w:p>
      <w:pPr>
        <w:numPr>
          <w:ilvl w:val="1"/>
          <w:numId w:val="12"/>
        </w:numPr>
      </w:pPr>
      <w:r>
        <w:rPr/>
        <w:t>Parotidite due au VIH</w:t>
      </w:r>
    </w:p>
    <w:p>
      <w:pPr>
        <w:numPr>
          <w:ilvl w:val="1"/>
          <w:numId w:val="12"/>
        </w:numPr>
      </w:pPr>
      <w:r>
        <w:rPr/>
        <w:t>Autres parotidites virales</w:t>
      </w:r>
    </w:p>
    <w:p>
      <w:pPr>
        <w:numPr>
          <w:ilvl w:val="1"/>
          <w:numId w:val="12"/>
        </w:numPr>
      </w:pPr>
      <w:r>
        <w:rPr/>
        <w:t xml:space="preserve">Troubles métaboliques (urémie, diabète sucré) </w:t>
      </w:r>
    </w:p>
    <w:p>
      <w:pPr>
        <w:numPr>
          <w:ilvl w:val="1"/>
          <w:numId w:val="12"/>
        </w:numPr>
      </w:pPr>
      <w:r>
        <w:rPr/>
        <w:t xml:space="preserve">Syndrome de </w:t>
      </w:r>
      <w:r>
        <w:rPr/>
        <w:t>Mikulicz</w:t>
      </w:r>
      <w:r>
        <w:rPr/>
        <w:t>(</w:t>
      </w:r>
      <w:r>
        <w:rPr/>
        <w:t xml:space="preserve">augmentation chronique du volume des parotides et des glandes lacrymales, indolore, d'étiologie inconnue observée dans tuberculose, sarcoïdose, LED, leucémies ou lymphosarcomes) </w:t>
      </w:r>
    </w:p>
    <w:p>
      <w:pPr>
        <w:numPr>
          <w:ilvl w:val="1"/>
          <w:numId w:val="12"/>
        </w:numPr>
      </w:pPr>
      <w:r>
        <w:rPr/>
        <w:t>Tumeurs bénignes et malignes</w:t>
      </w:r>
    </w:p>
    <w:p>
      <w:pPr>
        <w:numPr>
          <w:ilvl w:val="1"/>
          <w:numId w:val="12"/>
        </w:numPr>
      </w:pPr>
      <w:r>
        <w:rPr/>
        <w:t xml:space="preserve">Hypertrophie parotidienne liée aux médicaments (iodures, phénylbutazones, </w:t>
      </w:r>
      <w:r>
        <w:rPr/>
        <w:t>propylthio</w:t>
      </w:r>
      <w:r>
        <w:rPr/>
        <w:t>-uracile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13"/>
        </w:numPr>
      </w:pPr>
      <w:r>
        <w:rPr>
          <w:b/>
        </w:rPr>
        <w:t>Virus ourlien</w:t>
      </w:r>
    </w:p>
    <w:p>
      <w:pPr>
        <w:numPr>
          <w:ilvl w:val="1"/>
          <w:numId w:val="13"/>
        </w:numPr>
      </w:pPr>
      <w:r>
        <w:rPr/>
        <w:t xml:space="preserve">Virus à ARN, famille des </w:t>
      </w:r>
      <w:r>
        <w:rPr>
          <w:i/>
        </w:rPr>
        <w:t>Paramyxoviridae</w:t>
      </w:r>
    </w:p>
    <w:p>
      <w:pPr>
        <w:numPr>
          <w:ilvl w:val="1"/>
          <w:numId w:val="13"/>
        </w:numPr>
      </w:pPr>
      <w:r>
        <w:rPr>
          <w:b/>
        </w:rPr>
        <w:t>Virus à tropisme glandulaire (parotide, testicule, pancréas) et neurologique</w:t>
      </w:r>
    </w:p>
    <w:p>
      <w:pPr>
        <w:numPr>
          <w:ilvl w:val="1"/>
          <w:numId w:val="13"/>
        </w:numPr>
      </w:pPr>
      <w:r>
        <w:rPr/>
        <w:t xml:space="preserve">Réservoir strictement humain, transmission par gouttelettes de salive </w:t>
      </w:r>
    </w:p>
    <w:p>
      <w:pPr>
        <w:numPr>
          <w:ilvl w:val="1"/>
          <w:numId w:val="13"/>
        </w:numPr>
      </w:pPr>
      <w:r>
        <w:rPr/>
        <w:t>Immunisation durable après la maladie</w:t>
      </w:r>
    </w:p>
    <w:p>
      <w:pPr>
        <w:numPr>
          <w:ilvl w:val="1"/>
          <w:numId w:val="13"/>
        </w:numPr>
      </w:pPr>
      <w:r>
        <w:rPr>
          <w:b/>
        </w:rPr>
        <w:t>Protection vaccinale efficace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14"/>
        </w:numPr>
      </w:pPr>
      <w:r>
        <w:rPr>
          <w:b/>
        </w:rPr>
        <w:t>Symptomatique</w:t>
      </w:r>
      <w:r>
        <w:rPr>
          <w:b/>
        </w:rPr>
        <w:t xml:space="preserve"> </w:t>
      </w:r>
      <w:r>
        <w:rPr/>
        <w:t>: repos, antalgique (paracétamol), aliments mous (éviction des acides), hydratation correcte et adaptée, port de suspensoir si orchite</w:t>
      </w:r>
    </w:p>
    <w:p>
      <w:pPr>
        <w:numPr>
          <w:ilvl w:val="0"/>
          <w:numId w:val="14"/>
        </w:numPr>
      </w:pPr>
      <w:r>
        <w:rPr/>
        <w:t xml:space="preserve">Si cas déclaré dans une collectivité : </w:t>
      </w:r>
      <w:r>
        <w:rPr>
          <w:b/>
        </w:rPr>
        <w:t>Eviction du cas non obligatoire :</w:t>
      </w:r>
      <w:r>
        <w:rPr>
          <w:b/>
          <w:i/>
        </w:rPr>
        <w:t xml:space="preserve"> AFAKA MIANATRA</w:t>
      </w:r>
    </w:p>
    <w:p>
      <w:pPr>
        <w:numPr>
          <w:ilvl w:val="0"/>
          <w:numId w:val="14"/>
        </w:numPr>
      </w:pPr>
      <w:r>
        <w:rPr/>
        <w:t xml:space="preserve">Prévention : </w:t>
      </w:r>
      <w:r>
        <w:rPr>
          <w:b/>
        </w:rPr>
        <w:t>vaccination +++</w:t>
      </w:r>
    </w:p>
    <w:p>
      <w:pPr>
        <w:numPr>
          <w:ilvl w:val="1"/>
          <w:numId w:val="14"/>
        </w:numPr>
      </w:pPr>
      <w:r>
        <w:rPr/>
        <w:t>Trivalent (rougeole-oreillons-rubéole ROR) dès 12 mois puis entre 16-18 mois</w:t>
      </w:r>
    </w:p>
    <w:p>
      <w:pPr>
        <w:numPr>
          <w:ilvl w:val="1"/>
          <w:numId w:val="14"/>
        </w:numPr>
      </w:pPr>
      <w:r>
        <w:rPr/>
        <w:t>Isolement des patients infectés et précautions standard contre les gouttelettes respiratoires pendant 5 jours après l'apparition de la parotidite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