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PARALYSIE FLASQUE AIGUË (PFA)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4"/>
        </w:numPr>
      </w:pPr>
      <w:r>
        <w:rPr/>
        <w:t>Poser le diagnostic positif d’une PFA</w:t>
      </w:r>
    </w:p>
    <w:p>
      <w:pPr>
        <w:numPr>
          <w:ilvl w:val="0"/>
          <w:numId w:val="14"/>
        </w:numPr>
      </w:pPr>
      <w:r>
        <w:rPr/>
        <w:t>Citer la procédure à suivre devant une PFA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5"/>
        </w:numPr>
      </w:pPr>
      <w:r>
        <w:rPr/>
        <w:t>PFA : perte brutale de la motricité d’un membre ou d’une partie du corps, survenue récente en dehors d’un contexte traumatique</w:t>
      </w:r>
    </w:p>
    <w:p>
      <w:pPr>
        <w:numPr>
          <w:ilvl w:val="1"/>
          <w:numId w:val="15"/>
        </w:numPr>
      </w:pPr>
      <w:r>
        <w:rPr/>
        <w:t>Eliminer toute paralysie FA transitoire</w:t>
      </w:r>
      <w:r>
        <w:rPr/>
        <w:br/>
      </w:r>
    </w:p>
    <w:p>
      <w:pPr>
        <w:pStyle w:val="Heading3"/>
      </w:pPr>
      <w:r>
        <w:rPr/>
        <w:t>Intérêts</w:t>
      </w:r>
      <w:r>
        <w:rPr/>
        <w:t xml:space="preserve"> </w:t>
      </w:r>
    </w:p>
    <w:p>
      <w:pPr>
        <w:numPr>
          <w:ilvl w:val="1"/>
          <w:numId w:val="15"/>
        </w:numPr>
      </w:pPr>
      <w:r>
        <w:rPr/>
        <w:t>Objet de surveillance régionale et mondiale dans le cadre de stratégie d’éradication de la poliomyélite</w:t>
      </w:r>
    </w:p>
    <w:p>
      <w:pPr>
        <w:numPr>
          <w:ilvl w:val="1"/>
          <w:numId w:val="15"/>
        </w:numPr>
      </w:pPr>
      <w:r>
        <w:rPr/>
        <w:t>Etiologies multiples (PFA = signe)</w:t>
      </w:r>
      <w:r>
        <w:rPr/>
        <w:br/>
      </w:r>
    </w:p>
    <w:p>
      <w:pPr>
        <w:pStyle w:val="Heading3"/>
      </w:pPr>
      <w:r>
        <w:rPr/>
        <w:t>Etapes de PEC d’une PFA</w:t>
      </w:r>
    </w:p>
    <w:p>
      <w:pPr>
        <w:numPr>
          <w:ilvl w:val="1"/>
          <w:numId w:val="15"/>
        </w:numPr>
      </w:pPr>
      <w:r>
        <w:rPr/>
        <w:t>Reconnaître le déficit</w:t>
      </w:r>
    </w:p>
    <w:p>
      <w:pPr>
        <w:numPr>
          <w:ilvl w:val="1"/>
          <w:numId w:val="15"/>
        </w:numPr>
      </w:pPr>
      <w:r>
        <w:rPr/>
        <w:t>Etablir le diagnostic topographique -&gt; atteinte centrale ou périphérique</w:t>
      </w:r>
    </w:p>
    <w:p>
      <w:pPr>
        <w:numPr>
          <w:ilvl w:val="1"/>
          <w:numId w:val="15"/>
        </w:numPr>
      </w:pPr>
      <w:r>
        <w:rPr/>
        <w:t>Déclaration obligatoire</w:t>
      </w:r>
    </w:p>
    <w:p>
      <w:pPr/>
    </w:p>
    <w:p>
      <w:pPr>
        <w:pStyle w:val="Heading2"/>
        <w:numPr>
          <w:ilvl w:val="0"/>
          <w:numId w:val="63"/>
        </w:numPr>
      </w:pPr>
      <w:r>
        <w:rPr/>
        <w:t>DIAGNOSTIC POSITIF</w:t>
      </w:r>
    </w:p>
    <w:p>
      <w:pPr/>
      <w:r>
        <w:rPr/>
        <w:t>Apparition soudaine d’une faiblesse ou d’une paralysie localisée à un membre ou à un hémicorps</w:t>
      </w:r>
    </w:p>
    <w:p>
      <w:pPr>
        <w:numPr>
          <w:ilvl w:val="0"/>
          <w:numId w:val="16"/>
        </w:numPr>
      </w:pPr>
      <w:r>
        <w:rPr/>
        <w:t>Flaccidité (</w:t>
      </w:r>
      <w:r>
        <w:rPr>
          <w:i/>
        </w:rPr>
        <w:t>membre très mou)</w:t>
      </w:r>
    </w:p>
    <w:p>
      <w:pPr>
        <w:numPr>
          <w:ilvl w:val="0"/>
          <w:numId w:val="16"/>
        </w:numPr>
      </w:pPr>
      <w:r>
        <w:rPr/>
        <w:t>Hypotonie musculaire, cotation de la force musculaire à faire (0/5)</w:t>
      </w:r>
    </w:p>
    <w:p>
      <w:pPr>
        <w:numPr>
          <w:ilvl w:val="0"/>
          <w:numId w:val="16"/>
        </w:numPr>
      </w:pPr>
      <w:r>
        <w:rPr/>
        <w:t>ROT faible ou aboli</w:t>
      </w:r>
    </w:p>
    <w:p>
      <w:pPr>
        <w:numPr>
          <w:ilvl w:val="0"/>
          <w:numId w:val="16"/>
        </w:numPr>
      </w:pPr>
      <w:r>
        <w:rPr/>
        <w:t>RCP en flexion (normal)</w:t>
      </w:r>
    </w:p>
    <w:p>
      <w:pPr>
        <w:numPr>
          <w:ilvl w:val="0"/>
          <w:numId w:val="16"/>
        </w:numPr>
      </w:pPr>
      <w:r>
        <w:rPr/>
        <w:t>Sensibilité conservée</w:t>
      </w:r>
      <w:r>
        <w:rPr/>
        <w:br/>
      </w:r>
      <w:r>
        <w:rPr/>
        <w:br/>
      </w:r>
      <w:r>
        <w:rPr/>
        <w:t>Préciser le caractère central ou périphérique de la paralysie</w:t>
      </w:r>
      <w:r>
        <w:rPr/>
        <w:br/>
      </w:r>
    </w:p>
    <w:p>
      <w:pPr>
        <w:pStyle w:val="Heading2"/>
        <w:numPr>
          <w:ilvl w:val="0"/>
          <w:numId w:val="63"/>
        </w:numPr>
      </w:pPr>
      <w:r>
        <w:rPr/>
        <w:t>DIAGNOSTIC ETIOLOGIQUE</w:t>
      </w:r>
    </w:p>
    <w:p>
      <w:pPr>
        <w:pStyle w:val="Heading3"/>
        <w:numPr>
          <w:ilvl w:val="0"/>
          <w:numId w:val="64"/>
        </w:numPr>
      </w:pPr>
      <w:r>
        <w:rPr/>
        <w:t>DEMARCHE ETIOLOGIQUE</w:t>
      </w:r>
    </w:p>
    <w:p>
      <w:pPr>
        <w:pStyle w:val="Heading4"/>
        <w:numPr>
          <w:ilvl w:val="0"/>
          <w:numId w:val="65"/>
        </w:numPr>
      </w:pPr>
      <w:r>
        <w:rPr/>
        <w:t>INTERROGATOIRE</w:t>
      </w:r>
    </w:p>
    <w:p>
      <w:pPr>
        <w:pStyle w:val="Heading5"/>
        <w:numPr>
          <w:ilvl w:val="0"/>
          <w:numId w:val="60"/>
        </w:numPr>
      </w:pPr>
      <w:r>
        <w:rPr/>
        <w:t>ANTECEDENTS FAMILIAUX</w:t>
      </w:r>
    </w:p>
    <w:p>
      <w:pPr>
        <w:numPr>
          <w:ilvl w:val="2"/>
          <w:numId w:val="17"/>
        </w:numPr>
      </w:pPr>
      <w:r>
        <w:rPr/>
        <w:t>Migraine avec aura</w:t>
      </w:r>
    </w:p>
    <w:p>
      <w:pPr>
        <w:numPr>
          <w:ilvl w:val="2"/>
          <w:numId w:val="17"/>
        </w:numPr>
      </w:pPr>
      <w:r>
        <w:rPr/>
        <w:t>Pathologie thromboembolique</w:t>
      </w:r>
    </w:p>
    <w:p>
      <w:pPr>
        <w:numPr>
          <w:ilvl w:val="2"/>
          <w:numId w:val="17"/>
        </w:numPr>
      </w:pPr>
      <w:r>
        <w:rPr/>
        <w:t>Pathologie neurologique</w:t>
      </w:r>
      <w:r>
        <w:rPr/>
        <w:br/>
      </w:r>
    </w:p>
    <w:p>
      <w:pPr>
        <w:pStyle w:val="Heading5"/>
        <w:numPr>
          <w:ilvl w:val="0"/>
          <w:numId w:val="60"/>
        </w:numPr>
      </w:pPr>
      <w:r>
        <w:rPr/>
        <w:t>ANTECEDENTS PERSONNELS</w:t>
      </w:r>
    </w:p>
    <w:p>
      <w:pPr>
        <w:numPr>
          <w:ilvl w:val="2"/>
          <w:numId w:val="17"/>
        </w:numPr>
      </w:pPr>
      <w:r>
        <w:rPr/>
        <w:t>Voyage</w:t>
      </w:r>
    </w:p>
    <w:p>
      <w:pPr>
        <w:numPr>
          <w:ilvl w:val="2"/>
          <w:numId w:val="17"/>
        </w:numPr>
      </w:pPr>
      <w:r>
        <w:rPr/>
        <w:t>Statut vaccinal : poliomyélite (nombre total de doses de vaccin oral ou parentéral reçues et date)</w:t>
      </w:r>
    </w:p>
    <w:p>
      <w:pPr>
        <w:numPr>
          <w:ilvl w:val="2"/>
          <w:numId w:val="17"/>
        </w:numPr>
      </w:pPr>
      <w:r>
        <w:rPr/>
        <w:t>Immunodépression</w:t>
      </w:r>
    </w:p>
    <w:p>
      <w:pPr>
        <w:numPr>
          <w:ilvl w:val="2"/>
          <w:numId w:val="17"/>
        </w:numPr>
      </w:pPr>
      <w:r>
        <w:rPr/>
        <w:t>Pathologie neurologique : épilepsie partielle connue, trouble neurologique transitoire récent (maladie démyélinisante)</w:t>
      </w:r>
    </w:p>
    <w:p>
      <w:pPr>
        <w:numPr>
          <w:ilvl w:val="2"/>
          <w:numId w:val="17"/>
        </w:numPr>
      </w:pPr>
      <w:r>
        <w:rPr/>
        <w:t>Pathologie thromboembolique</w:t>
      </w:r>
      <w:r>
        <w:rPr/>
        <w:br/>
      </w:r>
    </w:p>
    <w:p>
      <w:pPr>
        <w:pStyle w:val="Heading5"/>
        <w:numPr>
          <w:ilvl w:val="0"/>
          <w:numId w:val="60"/>
        </w:numPr>
      </w:pPr>
      <w:r>
        <w:rPr/>
        <w:t>Modalités de survenue du déficit</w:t>
      </w:r>
    </w:p>
    <w:p>
      <w:pPr>
        <w:numPr>
          <w:ilvl w:val="2"/>
          <w:numId w:val="17"/>
        </w:numPr>
      </w:pPr>
      <w:r>
        <w:rPr/>
        <w:t xml:space="preserve">Au décours d’un épisode infectieux : </w:t>
      </w:r>
    </w:p>
    <w:p>
      <w:pPr>
        <w:numPr>
          <w:ilvl w:val="3"/>
          <w:numId w:val="17"/>
        </w:numPr>
      </w:pPr>
      <w:r>
        <w:rPr/>
        <w:t>Polyradiculonévrite</w:t>
      </w:r>
    </w:p>
    <w:p>
      <w:pPr>
        <w:numPr>
          <w:ilvl w:val="3"/>
          <w:numId w:val="17"/>
        </w:numPr>
      </w:pPr>
      <w:r>
        <w:rPr/>
        <w:t>Poliomyélite</w:t>
      </w:r>
    </w:p>
    <w:p>
      <w:pPr>
        <w:numPr>
          <w:ilvl w:val="3"/>
          <w:numId w:val="17"/>
        </w:numPr>
      </w:pPr>
      <w:r>
        <w:rPr/>
        <w:t>Thrombophlébite cérébrale sur mastoïdite</w:t>
      </w:r>
    </w:p>
    <w:p>
      <w:pPr>
        <w:numPr>
          <w:ilvl w:val="3"/>
          <w:numId w:val="17"/>
        </w:numPr>
      </w:pPr>
      <w:r>
        <w:rPr/>
        <w:t>Complications de méningites</w:t>
      </w:r>
    </w:p>
    <w:p>
      <w:pPr>
        <w:numPr>
          <w:ilvl w:val="3"/>
          <w:numId w:val="17"/>
        </w:numPr>
      </w:pPr>
      <w:r>
        <w:rPr/>
        <w:t>Leucoencéphalite infectieuse ou post infectieuse</w:t>
      </w:r>
    </w:p>
    <w:p>
      <w:pPr>
        <w:numPr>
          <w:ilvl w:val="2"/>
          <w:numId w:val="17"/>
        </w:numPr>
      </w:pPr>
      <w:r>
        <w:rPr/>
        <w:t>Survenue très brutale en coup de tonnerre (accident hémorragique)</w:t>
      </w:r>
    </w:p>
    <w:p>
      <w:pPr>
        <w:numPr>
          <w:ilvl w:val="2"/>
          <w:numId w:val="17"/>
        </w:numPr>
      </w:pPr>
      <w:r>
        <w:rPr/>
        <w:t xml:space="preserve">Installation claudicante (AVC ischémique) : </w:t>
      </w:r>
      <w:r>
        <w:rPr>
          <w:i/>
        </w:rPr>
        <w:t>dysarthrie puis PF puis aphasie puis paralysie -&gt; AVC ischémique</w:t>
      </w:r>
      <w:r>
        <w:rPr>
          <w:i/>
        </w:rPr>
        <w:br/>
      </w:r>
    </w:p>
    <w:p>
      <w:pPr>
        <w:pStyle w:val="Heading4"/>
        <w:numPr>
          <w:ilvl w:val="0"/>
          <w:numId w:val="65"/>
        </w:numPr>
      </w:pPr>
      <w:r>
        <w:rPr/>
        <w:t>EXAMEN CLINIQUE</w:t>
      </w:r>
    </w:p>
    <w:p>
      <w:pPr>
        <w:numPr>
          <w:ilvl w:val="1"/>
          <w:numId w:val="17"/>
        </w:numPr>
      </w:pPr>
      <w:r>
        <w:rPr/>
        <w:t>Fièvre</w:t>
      </w:r>
    </w:p>
    <w:p>
      <w:pPr>
        <w:numPr>
          <w:ilvl w:val="1"/>
          <w:numId w:val="17"/>
        </w:numPr>
      </w:pPr>
      <w:r>
        <w:rPr/>
        <w:t>Céphalées</w:t>
      </w:r>
    </w:p>
    <w:p>
      <w:pPr>
        <w:numPr>
          <w:ilvl w:val="1"/>
          <w:numId w:val="17"/>
        </w:numPr>
      </w:pPr>
      <w:r>
        <w:rPr/>
        <w:t>Crises convulsives</w:t>
      </w:r>
      <w:r>
        <w:rPr/>
        <w:br/>
      </w:r>
    </w:p>
    <w:p>
      <w:pPr>
        <w:numPr>
          <w:ilvl w:val="1"/>
          <w:numId w:val="17"/>
        </w:numPr>
      </w:pPr>
      <w:r>
        <w:rPr/>
        <w:t>Troubles de la vigilance</w:t>
      </w:r>
    </w:p>
    <w:p>
      <w:pPr>
        <w:numPr>
          <w:ilvl w:val="1"/>
          <w:numId w:val="17"/>
        </w:numPr>
      </w:pPr>
      <w:r>
        <w:rPr/>
        <w:t>Syndrome méningé</w:t>
      </w:r>
    </w:p>
    <w:p>
      <w:pPr>
        <w:numPr>
          <w:ilvl w:val="1"/>
          <w:numId w:val="17"/>
        </w:numPr>
      </w:pPr>
      <w:r>
        <w:rPr/>
        <w:t>Signes d’HTIC</w:t>
      </w:r>
    </w:p>
    <w:p>
      <w:pPr>
        <w:numPr>
          <w:ilvl w:val="1"/>
          <w:numId w:val="17"/>
        </w:numPr>
      </w:pPr>
      <w:r>
        <w:rPr/>
        <w:t>Signes associés</w:t>
      </w:r>
    </w:p>
    <w:p>
      <w:pPr>
        <w:numPr>
          <w:ilvl w:val="2"/>
          <w:numId w:val="17"/>
        </w:numPr>
      </w:pPr>
      <w:r>
        <w:rPr/>
        <w:t>Signe de détresse respiratoire</w:t>
      </w:r>
    </w:p>
    <w:p>
      <w:pPr>
        <w:numPr>
          <w:ilvl w:val="2"/>
          <w:numId w:val="17"/>
        </w:numPr>
      </w:pPr>
      <w:r>
        <w:rPr/>
        <w:t>Signes digestifs</w:t>
      </w:r>
    </w:p>
    <w:p>
      <w:pPr>
        <w:numPr>
          <w:ilvl w:val="2"/>
          <w:numId w:val="17"/>
        </w:numPr>
      </w:pPr>
      <w:r>
        <w:rPr/>
        <w:t>Douleurs musculaires, lombalgies</w:t>
      </w:r>
      <w:r>
        <w:rPr/>
        <w:br/>
      </w:r>
    </w:p>
    <w:p>
      <w:pPr>
        <w:pStyle w:val="Heading4"/>
        <w:numPr>
          <w:ilvl w:val="0"/>
          <w:numId w:val="65"/>
        </w:numPr>
      </w:pPr>
      <w:r>
        <w:rPr/>
        <w:t>EXAMENS COMPLEMENTAIRES</w:t>
      </w:r>
    </w:p>
    <w:p>
      <w:pPr>
        <w:numPr>
          <w:ilvl w:val="1"/>
          <w:numId w:val="17"/>
        </w:numPr>
      </w:pPr>
      <w:r>
        <w:rPr/>
        <w:t>Selon l’orientation étiologique</w:t>
      </w:r>
    </w:p>
    <w:p>
      <w:pPr>
        <w:numPr>
          <w:ilvl w:val="2"/>
          <w:numId w:val="17"/>
        </w:numPr>
      </w:pPr>
      <w:r>
        <w:rPr>
          <w:b/>
        </w:rPr>
        <w:t>Biologie</w:t>
      </w:r>
    </w:p>
    <w:p>
      <w:pPr>
        <w:numPr>
          <w:ilvl w:val="3"/>
          <w:numId w:val="17"/>
        </w:numPr>
      </w:pPr>
      <w:r>
        <w:rPr/>
        <w:t>Dosage CPK</w:t>
      </w:r>
    </w:p>
    <w:p>
      <w:pPr>
        <w:numPr>
          <w:ilvl w:val="3"/>
          <w:numId w:val="17"/>
        </w:numPr>
      </w:pPr>
      <w:r>
        <w:rPr/>
        <w:t>PL</w:t>
      </w:r>
    </w:p>
    <w:p>
      <w:pPr>
        <w:numPr>
          <w:ilvl w:val="3"/>
          <w:numId w:val="17"/>
        </w:numPr>
      </w:pPr>
      <w:r>
        <w:rPr/>
        <w:t>Sérologies, PCR virale</w:t>
      </w:r>
    </w:p>
    <w:p>
      <w:pPr>
        <w:numPr>
          <w:ilvl w:val="2"/>
          <w:numId w:val="17"/>
        </w:numPr>
      </w:pPr>
      <w:r>
        <w:rPr>
          <w:b/>
        </w:rPr>
        <w:t>Electromyogramme (EMG)</w:t>
      </w:r>
    </w:p>
    <w:p>
      <w:pPr>
        <w:numPr>
          <w:ilvl w:val="2"/>
          <w:numId w:val="17"/>
        </w:numPr>
      </w:pPr>
      <w:r>
        <w:rPr>
          <w:b/>
        </w:rPr>
        <w:t>Imagerie</w:t>
      </w:r>
      <w:r>
        <w:rPr/>
        <w:t xml:space="preserve"> : TDM et IRM cérébrales, IRM médullaire</w:t>
      </w:r>
    </w:p>
    <w:p>
      <w:pPr/>
    </w:p>
    <w:p>
      <w:pPr>
        <w:pStyle w:val="Heading3"/>
        <w:numPr>
          <w:ilvl w:val="0"/>
          <w:numId w:val="64"/>
        </w:numPr>
      </w:pPr>
      <w:r>
        <w:rPr/>
        <w:t>ETIOLOGIES</w:t>
      </w:r>
    </w:p>
    <w:p>
      <w:pPr>
        <w:numPr>
          <w:ilvl w:val="0"/>
          <w:numId w:val="18"/>
        </w:numPr>
      </w:pPr>
      <w:r>
        <w:rPr/>
        <w:t>Atteinte de la corne antérieure</w:t>
      </w:r>
    </w:p>
    <w:p>
      <w:pPr>
        <w:numPr>
          <w:ilvl w:val="0"/>
          <w:numId w:val="18"/>
        </w:numPr>
      </w:pPr>
      <w:r>
        <w:rPr/>
        <w:t>Maladie du nerf périphérique</w:t>
      </w:r>
    </w:p>
    <w:p>
      <w:pPr>
        <w:numPr>
          <w:ilvl w:val="0"/>
          <w:numId w:val="18"/>
        </w:numPr>
      </w:pPr>
      <w:r>
        <w:rPr/>
        <w:t>Maladie de la transmission neuro-musculaire</w:t>
      </w:r>
    </w:p>
    <w:p>
      <w:pPr>
        <w:numPr>
          <w:ilvl w:val="0"/>
          <w:numId w:val="18"/>
        </w:numPr>
      </w:pPr>
      <w:r>
        <w:rPr/>
        <w:t>Myopathie</w:t>
      </w:r>
    </w:p>
    <w:p>
      <w:pPr>
        <w:numPr>
          <w:ilvl w:val="0"/>
          <w:numId w:val="18"/>
        </w:numPr>
      </w:pPr>
      <w:r>
        <w:rPr/>
        <w:t>Atteinte centrale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Maladie de la corne antérieure :</w:t>
      </w:r>
    </w:p>
    <w:p>
      <w:pPr>
        <w:numPr>
          <w:ilvl w:val="0"/>
          <w:numId w:val="19"/>
        </w:numPr>
      </w:pPr>
      <w:r>
        <w:rPr/>
        <w:t>Polyomyélite</w:t>
      </w:r>
      <w:r>
        <w:rPr/>
        <w:t>++</w:t>
      </w:r>
    </w:p>
    <w:p>
      <w:pPr>
        <w:numPr>
          <w:ilvl w:val="0"/>
          <w:numId w:val="19"/>
        </w:numPr>
      </w:pPr>
      <w:r>
        <w:rPr/>
        <w:t>Amyotrophie spinale infantile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Maladies du nerf périphérique (surtout des défauts de conduction)</w:t>
      </w:r>
    </w:p>
    <w:p>
      <w:pPr>
        <w:numPr>
          <w:ilvl w:val="0"/>
          <w:numId w:val="20"/>
        </w:numPr>
      </w:pPr>
      <w:r>
        <w:rPr/>
        <w:t>Neuropathies héréditaires sensitivo-motrices</w:t>
      </w:r>
    </w:p>
    <w:p>
      <w:pPr>
        <w:numPr>
          <w:ilvl w:val="0"/>
          <w:numId w:val="20"/>
        </w:numPr>
      </w:pPr>
      <w:r>
        <w:rPr/>
        <w:t>Polyradiculonévrite aiguë post-infectieuse (Guillain Barré)</w:t>
      </w:r>
    </w:p>
    <w:p>
      <w:pPr>
        <w:numPr>
          <w:ilvl w:val="0"/>
          <w:numId w:val="20"/>
        </w:numPr>
      </w:pPr>
      <w:r>
        <w:rPr/>
        <w:t>Botulisme</w:t>
      </w:r>
    </w:p>
    <w:p>
      <w:pPr>
        <w:numPr>
          <w:ilvl w:val="0"/>
          <w:numId w:val="20"/>
        </w:numPr>
      </w:pPr>
      <w:r>
        <w:rPr/>
        <w:t xml:space="preserve">Paralysie faciale </w:t>
      </w:r>
      <w:r>
        <w:rPr>
          <w:i/>
        </w:rPr>
        <w:t xml:space="preserve">a </w:t>
      </w:r>
      <w:r>
        <w:rPr>
          <w:i/>
        </w:rPr>
        <w:t>frigore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Maladies de la transmission neuromusculaire</w:t>
      </w:r>
    </w:p>
    <w:p>
      <w:pPr>
        <w:numPr>
          <w:ilvl w:val="0"/>
          <w:numId w:val="21"/>
        </w:numPr>
      </w:pPr>
      <w:r>
        <w:rPr/>
        <w:t>Myasthénie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Myopathies</w:t>
      </w:r>
    </w:p>
    <w:p>
      <w:pPr>
        <w:pStyle w:val="Heading5"/>
        <w:numPr>
          <w:ilvl w:val="0"/>
          <w:numId w:val="60"/>
        </w:numPr>
      </w:pPr>
      <w:r>
        <w:rPr/>
        <w:t>Dystrophies musculaires</w:t>
      </w:r>
    </w:p>
    <w:p>
      <w:pPr>
        <w:numPr>
          <w:ilvl w:val="2"/>
          <w:numId w:val="22"/>
        </w:numPr>
      </w:pPr>
      <w:r>
        <w:rPr/>
        <w:t>Duchenne, Becker, myopathies congénitales, myopathies inflammatoires</w:t>
      </w:r>
    </w:p>
    <w:p>
      <w:pPr>
        <w:numPr>
          <w:ilvl w:val="2"/>
          <w:numId w:val="22"/>
        </w:numPr>
      </w:pPr>
      <w:r>
        <w:rPr/>
        <w:t>Myosite aiguë bénigne</w:t>
      </w:r>
    </w:p>
    <w:p>
      <w:pPr>
        <w:numPr>
          <w:ilvl w:val="2"/>
          <w:numId w:val="22"/>
        </w:numPr>
      </w:pPr>
      <w:r>
        <w:rPr/>
        <w:t>Polymyosite, dermatomyosite</w:t>
      </w:r>
      <w:r>
        <w:rPr/>
        <w:br/>
      </w:r>
    </w:p>
    <w:p>
      <w:pPr>
        <w:pStyle w:val="Heading5"/>
        <w:numPr>
          <w:ilvl w:val="0"/>
          <w:numId w:val="60"/>
        </w:numPr>
      </w:pPr>
      <w:r>
        <w:rPr/>
        <w:t>Dystrophie myotonique</w:t>
      </w:r>
    </w:p>
    <w:p>
      <w:pPr>
        <w:numPr>
          <w:ilvl w:val="2"/>
          <w:numId w:val="22"/>
        </w:numPr>
      </w:pPr>
      <w:r>
        <w:rPr/>
        <w:t>Myopathies métaboliques</w:t>
      </w:r>
    </w:p>
    <w:p>
      <w:pPr>
        <w:numPr>
          <w:ilvl w:val="2"/>
          <w:numId w:val="22"/>
        </w:numPr>
      </w:pPr>
      <w:r>
        <w:rPr/>
        <w:t>Myopathies congénitales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Autres causes</w:t>
      </w:r>
    </w:p>
    <w:p>
      <w:pPr>
        <w:numPr>
          <w:ilvl w:val="0"/>
          <w:numId w:val="23"/>
        </w:numPr>
      </w:pPr>
      <w:r>
        <w:rPr/>
        <w:t>Porphyries</w:t>
      </w:r>
    </w:p>
    <w:p>
      <w:pPr>
        <w:numPr>
          <w:ilvl w:val="0"/>
          <w:numId w:val="23"/>
        </w:numPr>
      </w:pPr>
      <w:r>
        <w:rPr/>
        <w:t>Maladie de Lyme</w:t>
      </w:r>
    </w:p>
    <w:p>
      <w:pPr>
        <w:numPr>
          <w:ilvl w:val="0"/>
          <w:numId w:val="23"/>
        </w:numPr>
      </w:pPr>
      <w:r>
        <w:rPr/>
        <w:t>Carence vitaminique en B1, B6, B</w:t>
      </w:r>
      <w:r>
        <w:rPr/>
        <w:t>12 ,</w:t>
      </w:r>
      <w:r>
        <w:rPr/>
        <w:t xml:space="preserve"> E</w:t>
      </w:r>
    </w:p>
    <w:p>
      <w:pPr>
        <w:numPr>
          <w:ilvl w:val="0"/>
          <w:numId w:val="23"/>
        </w:numPr>
      </w:pPr>
      <w:r>
        <w:rPr/>
        <w:t>Intoxications médicamenteuses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Atteinte centrale</w:t>
      </w:r>
    </w:p>
    <w:p>
      <w:pPr>
        <w:pStyle w:val="Heading5"/>
        <w:numPr>
          <w:ilvl w:val="0"/>
          <w:numId w:val="67"/>
        </w:numPr>
      </w:pPr>
      <w:r>
        <w:rPr/>
        <w:t>Atteinte supra-médullaire</w:t>
      </w:r>
    </w:p>
    <w:p>
      <w:pPr>
        <w:numPr>
          <w:ilvl w:val="1"/>
          <w:numId w:val="24"/>
        </w:numPr>
      </w:pPr>
      <w:r>
        <w:rPr>
          <w:b/>
        </w:rPr>
        <w:t>Causes vasculaires</w:t>
      </w:r>
    </w:p>
    <w:p>
      <w:pPr>
        <w:numPr>
          <w:ilvl w:val="2"/>
          <w:numId w:val="24"/>
        </w:numPr>
      </w:pPr>
      <w:r>
        <w:rPr/>
        <w:t>AVC hémorragique</w:t>
      </w:r>
    </w:p>
    <w:p>
      <w:pPr>
        <w:numPr>
          <w:ilvl w:val="2"/>
          <w:numId w:val="24"/>
        </w:numPr>
      </w:pPr>
      <w:r>
        <w:rPr/>
        <w:t>AVC ischémique artériel</w:t>
      </w:r>
    </w:p>
    <w:p>
      <w:pPr>
        <w:numPr>
          <w:ilvl w:val="2"/>
          <w:numId w:val="24"/>
        </w:numPr>
      </w:pPr>
      <w:r>
        <w:rPr/>
        <w:t>Thrombose veineuse cérébrale</w:t>
      </w:r>
    </w:p>
    <w:p>
      <w:pPr>
        <w:numPr>
          <w:ilvl w:val="2"/>
          <w:numId w:val="24"/>
        </w:numPr>
      </w:pPr>
      <w:r>
        <w:rPr/>
        <w:t>Infarctus veineux</w:t>
      </w:r>
      <w:r>
        <w:rPr/>
        <w:br/>
      </w:r>
    </w:p>
    <w:p>
      <w:pPr>
        <w:numPr>
          <w:ilvl w:val="1"/>
          <w:numId w:val="24"/>
        </w:numPr>
      </w:pPr>
      <w:r>
        <w:rPr>
          <w:b/>
        </w:rPr>
        <w:t>Causes infectieuses et inflammatoires</w:t>
      </w:r>
    </w:p>
    <w:p>
      <w:pPr>
        <w:numPr>
          <w:ilvl w:val="2"/>
          <w:numId w:val="24"/>
        </w:numPr>
      </w:pPr>
      <w:r>
        <w:rPr/>
        <w:t>Méningite bactérienne</w:t>
      </w:r>
    </w:p>
    <w:p>
      <w:pPr>
        <w:numPr>
          <w:ilvl w:val="2"/>
          <w:numId w:val="24"/>
        </w:numPr>
      </w:pPr>
      <w:r>
        <w:rPr/>
        <w:t>Empyème sous-dural</w:t>
      </w:r>
    </w:p>
    <w:p>
      <w:pPr>
        <w:numPr>
          <w:ilvl w:val="2"/>
          <w:numId w:val="24"/>
        </w:numPr>
      </w:pPr>
      <w:r>
        <w:rPr/>
        <w:t>Abcès</w:t>
      </w:r>
    </w:p>
    <w:p>
      <w:pPr>
        <w:numPr>
          <w:ilvl w:val="2"/>
          <w:numId w:val="24"/>
        </w:numPr>
      </w:pPr>
      <w:r>
        <w:rPr/>
        <w:t>Encéphalite virale à herpès</w:t>
      </w:r>
      <w:r>
        <w:rPr/>
        <w:br/>
      </w:r>
    </w:p>
    <w:p>
      <w:pPr>
        <w:pStyle w:val="Heading5"/>
        <w:numPr>
          <w:ilvl w:val="0"/>
          <w:numId w:val="67"/>
        </w:numPr>
      </w:pPr>
      <w:r>
        <w:rPr/>
        <w:t>Atteinte médullaire aiguë</w:t>
      </w:r>
    </w:p>
    <w:p>
      <w:pPr>
        <w:numPr>
          <w:ilvl w:val="1"/>
          <w:numId w:val="24"/>
        </w:numPr>
      </w:pPr>
      <w:r>
        <w:rPr/>
        <w:t>Myélite transverse++</w:t>
      </w:r>
    </w:p>
    <w:p>
      <w:pPr/>
    </w:p>
    <w:p>
      <w:pPr>
        <w:pStyle w:val="Heading2"/>
      </w:pPr>
      <w:r>
        <w:rPr/>
        <w:t>PROCEDURE DEVANT UNE PFA</w:t>
      </w:r>
    </w:p>
    <w:p>
      <w:pPr>
        <w:numPr>
          <w:ilvl w:val="0"/>
          <w:numId w:val="25"/>
        </w:numPr>
      </w:pPr>
      <w:r>
        <w:rPr/>
        <w:t>Toutes PFA chez des enfants &lt; 15 ans</w:t>
      </w:r>
    </w:p>
    <w:p>
      <w:pPr>
        <w:numPr>
          <w:ilvl w:val="1"/>
          <w:numId w:val="25"/>
        </w:numPr>
      </w:pPr>
      <w:r>
        <w:rPr/>
        <w:t xml:space="preserve">Déclaration obligatoire (fiche de renseignement, </w:t>
      </w:r>
      <w:r>
        <w:rPr>
          <w:i/>
        </w:rPr>
        <w:t>contacter le médecin responsable de PFA qui va faire les prélèvements</w:t>
      </w:r>
    </w:p>
    <w:p>
      <w:pPr>
        <w:numPr>
          <w:ilvl w:val="1"/>
          <w:numId w:val="25"/>
        </w:numPr>
      </w:pPr>
      <w:r>
        <w:rPr/>
        <w:t>Prélèvements de selles</w:t>
      </w:r>
      <w:r>
        <w:rPr/>
        <w:t xml:space="preserve"> </w:t>
      </w:r>
      <w:r>
        <w:rPr/>
        <w:t>(faisable jusqu’à 6 semaines après l’apparition de PFA)</w:t>
      </w:r>
    </w:p>
    <w:p>
      <w:pPr>
        <w:numPr>
          <w:ilvl w:val="1"/>
          <w:numId w:val="25"/>
        </w:numPr>
      </w:pPr>
      <w:r>
        <w:rPr/>
        <w:t>Prendre les dispositions pour qu’on effectue un suivi de l’issue de la paralysie 60 jours après son apparition</w:t>
      </w:r>
    </w:p>
    <w:p>
      <w:pPr/>
    </w:p>
    <w:p>
      <w:pPr>
        <w:pStyle w:val="Heading2"/>
      </w:pPr>
      <w:r>
        <w:rPr/>
        <w:t>Poliomyélite antérieures aiguë</w:t>
      </w:r>
      <w:r>
        <w:rPr/>
        <w:t xml:space="preserve"> </w:t>
      </w:r>
    </w:p>
    <w:p>
      <w:pPr>
        <w:numPr>
          <w:ilvl w:val="0"/>
          <w:numId w:val="26"/>
        </w:numPr>
      </w:pPr>
      <w:r>
        <w:rPr/>
        <w:t>Maladie infectieuse cosmopolite, contagieuse due aux poliovirus neurotrope</w:t>
      </w:r>
      <w:r>
        <w:rPr/>
        <w:br/>
      </w:r>
    </w:p>
    <w:p>
      <w:pPr>
        <w:pStyle w:val="Heading3"/>
      </w:pPr>
      <w:r>
        <w:rPr/>
        <w:t>Clinique :</w:t>
      </w:r>
    </w:p>
    <w:p>
      <w:pPr>
        <w:numPr>
          <w:ilvl w:val="1"/>
          <w:numId w:val="26"/>
        </w:numPr>
      </w:pPr>
      <w:r>
        <w:rPr/>
        <w:t>Fièvre, anorexie, céphalées, myalgies (</w:t>
      </w:r>
      <w:r>
        <w:rPr>
          <w:i/>
        </w:rPr>
        <w:t>syndrome grippal)</w:t>
      </w:r>
    </w:p>
    <w:p>
      <w:pPr>
        <w:numPr>
          <w:ilvl w:val="1"/>
          <w:numId w:val="26"/>
        </w:numPr>
      </w:pPr>
      <w:r>
        <w:rPr/>
        <w:t>Topographie du déficit asymétrique : Membre inférieur, surtout les muscles proximaux, diminution ou abolition des ROT</w:t>
      </w:r>
    </w:p>
    <w:p>
      <w:pPr>
        <w:numPr>
          <w:ilvl w:val="1"/>
          <w:numId w:val="26"/>
        </w:numPr>
      </w:pPr>
      <w:r>
        <w:rPr>
          <w:b/>
        </w:rPr>
        <w:t>Amyotrophie rapide (atteinte de la corne antérieure)</w:t>
      </w:r>
    </w:p>
    <w:p>
      <w:pPr>
        <w:numPr>
          <w:ilvl w:val="1"/>
          <w:numId w:val="26"/>
        </w:numPr>
      </w:pPr>
      <w:r>
        <w:rPr/>
        <w:t>Angines, signes digestifs</w:t>
      </w:r>
      <w:r>
        <w:rPr/>
        <w:br/>
      </w:r>
    </w:p>
    <w:p>
      <w:pPr>
        <w:pStyle w:val="Heading3"/>
      </w:pPr>
      <w:r>
        <w:rPr/>
        <w:t>Diagnostic positif</w:t>
      </w:r>
    </w:p>
    <w:p>
      <w:pPr>
        <w:numPr>
          <w:ilvl w:val="1"/>
          <w:numId w:val="26"/>
        </w:numPr>
      </w:pPr>
      <w:r>
        <w:rPr/>
        <w:t>Isolement du virus dans les selles ou dans le pharynx</w:t>
      </w:r>
    </w:p>
    <w:p>
      <w:pPr>
        <w:numPr>
          <w:ilvl w:val="1"/>
          <w:numId w:val="26"/>
        </w:numPr>
      </w:pPr>
      <w:r>
        <w:rPr/>
        <w:t>PCR virale</w:t>
      </w:r>
      <w:r>
        <w:rPr/>
        <w:t xml:space="preserve"> dans le sang ou dans le LCS</w:t>
      </w:r>
    </w:p>
    <w:p>
      <w:pPr>
        <w:numPr>
          <w:ilvl w:val="1"/>
          <w:numId w:val="26"/>
        </w:numPr>
      </w:pPr>
      <w:r>
        <w:rPr/>
        <w:t>Sérologie (diagnostic rétrospectif) : immunofluorescence, ELISA</w:t>
      </w:r>
    </w:p>
    <w:p>
      <w:pPr/>
    </w:p>
    <w:p>
      <w:pPr>
        <w:pStyle w:val="Heading2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27"/>
        </w:numPr>
      </w:pPr>
      <w:r>
        <w:rPr/>
        <w:t>PFA : DO</w:t>
      </w:r>
    </w:p>
    <w:p>
      <w:pPr>
        <w:numPr>
          <w:ilvl w:val="0"/>
          <w:numId w:val="27"/>
        </w:numPr>
      </w:pPr>
      <w:r>
        <w:rPr/>
        <w:t>Etiologies nombreuses</w:t>
      </w:r>
    </w:p>
    <w:p>
      <w:pPr>
        <w:numPr>
          <w:ilvl w:val="0"/>
          <w:numId w:val="27"/>
        </w:numPr>
      </w:pPr>
      <w:r>
        <w:rPr/>
        <w:t xml:space="preserve">Hantise : </w:t>
      </w:r>
      <w:r>
        <w:rPr/>
        <w:t>poliomyélite aiguë</w:t>
      </w:r>
    </w:p>
    <w:p>
      <w:pPr>
        <w:numPr>
          <w:ilvl w:val="0"/>
          <w:numId w:val="27"/>
        </w:numPr>
      </w:pPr>
      <w:r>
        <w:rPr/>
        <w:t xml:space="preserve">Analyse sémiologique minutieuse +++ pour voir si origine centrale ou </w:t>
      </w:r>
      <w:r>
        <w:rPr/>
        <w:t>périphérique</w:t>
      </w:r>
      <w:r>
        <w:rPr>
          <w:i/>
        </w:rPr>
        <w:t xml:space="preserve"> (</w:t>
      </w:r>
      <w:r>
        <w:rPr>
          <w:i/>
        </w:rPr>
        <w:t xml:space="preserve">périphérique </w:t>
      </w:r>
      <w:r>
        <w:rPr>
          <w:i/>
        </w:rPr>
        <w:t>ny</w:t>
      </w:r>
      <w:r>
        <w:rPr>
          <w:i/>
        </w:rPr>
        <w:t xml:space="preserve"> polio)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