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PURPURA INFECTIEUX SEVERE (PURPURA FULMINANS)</w:t>
      </w:r>
      <w:r>
        <w:rPr/>
        <w:t xml:space="preserve"> </w:t>
      </w:r>
    </w:p>
    <w:p>
      <w:pPr/>
      <w:r>
        <w:rPr>
          <w:i/>
        </w:rPr>
        <w:t>Rare, mais très grave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5"/>
        </w:numPr>
      </w:pPr>
      <w:r>
        <w:rPr/>
        <w:t xml:space="preserve">Poser le diagnostic de purpura </w:t>
      </w:r>
      <w:r>
        <w:rPr/>
        <w:t>fulminans</w:t>
      </w:r>
    </w:p>
    <w:p>
      <w:pPr>
        <w:numPr>
          <w:ilvl w:val="0"/>
          <w:numId w:val="15"/>
        </w:numPr>
      </w:pPr>
      <w:r>
        <w:rPr/>
        <w:t>Citer les examens paracliniques de 1ère intention</w:t>
      </w:r>
    </w:p>
    <w:p>
      <w:pPr>
        <w:numPr>
          <w:ilvl w:val="0"/>
          <w:numId w:val="15"/>
        </w:numPr>
      </w:pPr>
      <w:r>
        <w:rPr/>
        <w:t xml:space="preserve">Décrire la prise en charge </w:t>
      </w:r>
      <w:r>
        <w:rPr>
          <w:b/>
        </w:rPr>
        <w:t>préhospitalière</w:t>
      </w:r>
      <w:r>
        <w:rPr/>
        <w:t xml:space="preserve"> de purpura </w:t>
      </w:r>
      <w:r>
        <w:rPr/>
        <w:t>fulminans</w:t>
      </w:r>
    </w:p>
    <w:p>
      <w:pPr>
        <w:numPr>
          <w:ilvl w:val="0"/>
          <w:numId w:val="15"/>
        </w:numPr>
      </w:pPr>
      <w:r>
        <w:rPr/>
        <w:t xml:space="preserve">Décrire la CAT autour d'un cas de purpura </w:t>
      </w:r>
      <w:r>
        <w:rPr/>
        <w:t>fulminans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16"/>
        </w:numPr>
      </w:pPr>
      <w:r>
        <w:rPr/>
        <w:t>Purpura : (érythème ou violacée, punctiforme, ne s'effaçant pas à la vitropression)</w:t>
      </w:r>
    </w:p>
    <w:p>
      <w:pPr>
        <w:numPr>
          <w:ilvl w:val="1"/>
          <w:numId w:val="16"/>
        </w:numPr>
      </w:pPr>
      <w:r>
        <w:rPr/>
        <w:t>Purpura infectieux = syndrome infectieux</w:t>
      </w:r>
      <w:r>
        <w:rPr/>
        <w:t xml:space="preserve"> </w:t>
      </w:r>
      <w:r>
        <w:rPr/>
        <w:t>(fièvre ou hypothermie) + au moins un élément purpurique</w:t>
      </w:r>
    </w:p>
    <w:p>
      <w:pPr>
        <w:numPr>
          <w:ilvl w:val="1"/>
          <w:numId w:val="16"/>
        </w:numPr>
      </w:pPr>
      <w:r>
        <w:rPr/>
        <w:t>Purpura infectieux sévère</w:t>
      </w:r>
    </w:p>
    <w:p>
      <w:pPr>
        <w:numPr>
          <w:ilvl w:val="2"/>
          <w:numId w:val="16"/>
        </w:numPr>
      </w:pPr>
      <w:r>
        <w:rPr/>
        <w:t>Rapidement extensif en taille et en nombre</w:t>
      </w:r>
    </w:p>
    <w:p>
      <w:pPr>
        <w:numPr>
          <w:ilvl w:val="2"/>
          <w:numId w:val="16"/>
        </w:numPr>
      </w:pPr>
      <w:r>
        <w:rPr/>
        <w:t>Associé à un sepsis sévère : hypotension artérielle, trouble de conscience, défaillance multiviscérale</w:t>
      </w:r>
    </w:p>
    <w:p>
      <w:pPr>
        <w:numPr>
          <w:ilvl w:val="2"/>
          <w:numId w:val="16"/>
        </w:numPr>
      </w:pPr>
      <w:r>
        <w:rPr/>
        <w:t>Accompagne une méningite</w:t>
      </w:r>
    </w:p>
    <w:p>
      <w:pPr>
        <w:numPr>
          <w:ilvl w:val="1"/>
          <w:numId w:val="16"/>
        </w:numPr>
      </w:pPr>
      <w:r>
        <w:rPr/>
        <w:t xml:space="preserve">Purpura </w:t>
      </w:r>
      <w:r>
        <w:rPr/>
        <w:t>fulminans</w:t>
      </w:r>
      <w:r>
        <w:rPr/>
        <w:t xml:space="preserve"> = syndrome infectieux, forme extrêmement sévère de la septicémie qui provoque la coagulation du sang et nécrose tissulaire</w:t>
      </w:r>
    </w:p>
    <w:p>
      <w:pPr>
        <w:numPr>
          <w:ilvl w:val="2"/>
          <w:numId w:val="16"/>
        </w:numPr>
      </w:pPr>
      <w:r>
        <w:rPr/>
        <w:t>Au moins un élément nécrotique supérieur ou égale à 3mm ou ecchymotique large</w:t>
      </w:r>
    </w:p>
    <w:p>
      <w:pPr>
        <w:numPr>
          <w:ilvl w:val="2"/>
          <w:numId w:val="16"/>
        </w:numPr>
      </w:pPr>
      <w:r>
        <w:rPr/>
        <w:t xml:space="preserve">CIVD ou choc septique (sepsis sévère persistant après 2 remplissages) 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16"/>
        </w:numPr>
      </w:pPr>
      <w:r>
        <w:rPr/>
        <w:t xml:space="preserve">1,2 cas pour 100.000 enfants </w:t>
      </w:r>
      <w:r>
        <w:rPr/>
      </w:r>
      <w:r>
        <w:rPr/>
        <w:t>15 ans</w:t>
      </w:r>
    </w:p>
    <w:p>
      <w:pPr>
        <w:numPr>
          <w:ilvl w:val="1"/>
          <w:numId w:val="16"/>
        </w:numPr>
      </w:pPr>
      <w:r>
        <w:rPr/>
        <w:t>Mortalité jusqu'à 20-25%</w:t>
      </w:r>
    </w:p>
    <w:p>
      <w:pPr>
        <w:numPr>
          <w:ilvl w:val="1"/>
          <w:numId w:val="16"/>
        </w:numPr>
      </w:pPr>
      <w:r>
        <w:rPr/>
        <w:t>Plus de 6% des survivants nécessitent une amputation ou un geste de chirurgie plastique et reconstructrice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57"/>
        </w:numPr>
      </w:pPr>
      <w:r>
        <w:rPr/>
        <w:t>CLINIQUE</w:t>
      </w:r>
    </w:p>
    <w:p>
      <w:pPr>
        <w:numPr>
          <w:ilvl w:val="1"/>
          <w:numId w:val="17"/>
        </w:numPr>
      </w:pPr>
      <w:r>
        <w:rPr>
          <w:b/>
          <w:u w:val="single"/>
        </w:rPr>
        <w:t>Purpura extensif et nécrotique</w:t>
      </w:r>
      <w:r>
        <w:rPr/>
        <w:t xml:space="preserve"> (au moins un élément sup ou égale à 3mm) </w:t>
      </w:r>
    </w:p>
    <w:p>
      <w:pPr>
        <w:numPr>
          <w:ilvl w:val="1"/>
          <w:numId w:val="17"/>
        </w:numPr>
      </w:pPr>
      <w:r>
        <w:rPr/>
        <w:t>Fièvre ou hypothermie, AEG</w:t>
      </w:r>
    </w:p>
    <w:p>
      <w:pPr>
        <w:numPr>
          <w:ilvl w:val="1"/>
          <w:numId w:val="17"/>
        </w:numPr>
      </w:pPr>
      <w:r>
        <w:rPr/>
        <w:t>Signes de sepsis : Tachycardie, signes de sepsis sévère : marbrures, TRC allongé</w:t>
      </w:r>
    </w:p>
    <w:p>
      <w:pPr>
        <w:numPr>
          <w:ilvl w:val="1"/>
          <w:numId w:val="17"/>
        </w:numPr>
      </w:pPr>
      <w:r>
        <w:rPr/>
        <w:t>Hypertension (</w:t>
      </w:r>
      <w:r>
        <w:rPr>
          <w:i/>
        </w:rPr>
        <w:t>au début, ou tension normale. Dès hypotension</w:t>
      </w:r>
      <w:r>
        <w:rPr>
          <w:i/>
        </w:rPr>
        <w:t xml:space="preserve"> </w:t>
      </w:r>
      <w:r>
        <w:rPr>
          <w:i/>
        </w:rPr>
        <w:t xml:space="preserve">: =traitement très en retard. L'organisme a pu réagir par la corticosurrénale) </w:t>
      </w:r>
    </w:p>
    <w:p>
      <w:pPr>
        <w:numPr>
          <w:ilvl w:val="1"/>
          <w:numId w:val="17"/>
        </w:numPr>
      </w:pPr>
      <w:r>
        <w:rPr/>
        <w:t>Signes neurologiques</w:t>
      </w:r>
    </w:p>
    <w:p>
      <w:pPr>
        <w:numPr>
          <w:ilvl w:val="1"/>
          <w:numId w:val="17"/>
        </w:numPr>
      </w:pPr>
      <w:r>
        <w:rPr>
          <w:b/>
        </w:rPr>
        <w:t>Signes de gravité surajoutée :</w:t>
      </w:r>
    </w:p>
    <w:p>
      <w:pPr>
        <w:numPr>
          <w:ilvl w:val="2"/>
          <w:numId w:val="17"/>
        </w:numPr>
      </w:pPr>
      <w:r>
        <w:rPr/>
        <w:t xml:space="preserve">Âge </w:t>
      </w:r>
      <w:r>
        <w:rPr/>
      </w:r>
      <w:r>
        <w:rPr/>
        <w:t>12 mois</w:t>
      </w:r>
    </w:p>
    <w:p>
      <w:pPr>
        <w:numPr>
          <w:ilvl w:val="2"/>
          <w:numId w:val="17"/>
        </w:numPr>
      </w:pPr>
      <w:r>
        <w:rPr/>
        <w:t xml:space="preserve">Fièvre </w:t>
      </w:r>
      <w:r>
        <w:rPr/>
      </w:r>
      <w:r>
        <w:rPr/>
        <w:t xml:space="preserve"> 39°C</w:t>
      </w:r>
    </w:p>
    <w:p>
      <w:pPr>
        <w:numPr>
          <w:ilvl w:val="2"/>
          <w:numId w:val="17"/>
        </w:numPr>
      </w:pPr>
      <w:r>
        <w:rPr/>
        <w:t>AEG : teint gris, pâleur, irritabilité, abattement</w:t>
      </w:r>
    </w:p>
    <w:p>
      <w:pPr>
        <w:numPr>
          <w:ilvl w:val="2"/>
          <w:numId w:val="17"/>
        </w:numPr>
      </w:pPr>
      <w:r>
        <w:rPr/>
        <w:t xml:space="preserve">Tachycardie / tachypnée </w:t>
      </w:r>
      <w:r>
        <w:rPr/>
      </w:r>
      <w:r>
        <w:rPr/>
        <w:t xml:space="preserve"> +2DS pour l'âge</w:t>
      </w:r>
    </w:p>
    <w:p>
      <w:pPr>
        <w:numPr>
          <w:ilvl w:val="2"/>
          <w:numId w:val="17"/>
        </w:numPr>
      </w:pPr>
      <w:r>
        <w:rPr/>
        <w:t>Choc septique</w:t>
      </w:r>
    </w:p>
    <w:p>
      <w:pPr>
        <w:pStyle w:val="Heading3"/>
        <w:numPr>
          <w:ilvl w:val="0"/>
          <w:numId w:val="57"/>
        </w:numPr>
      </w:pPr>
      <w:r>
        <w:rPr/>
        <w:t>Biologie</w:t>
      </w:r>
    </w:p>
    <w:p>
      <w:pPr>
        <w:numPr>
          <w:ilvl w:val="1"/>
          <w:numId w:val="17"/>
        </w:numPr>
      </w:pPr>
      <w:r>
        <w:rPr/>
        <w:t xml:space="preserve">NFS, CRP, Procalcitonine : </w:t>
      </w:r>
    </w:p>
    <w:p>
      <w:pPr>
        <w:numPr>
          <w:ilvl w:val="1"/>
          <w:numId w:val="17"/>
        </w:numPr>
      </w:pPr>
      <w:r>
        <w:rPr/>
        <w:t>1=bilan inflammatoire et bilan bactériologique</w:t>
      </w:r>
    </w:p>
    <w:p>
      <w:pPr>
        <w:numPr>
          <w:ilvl w:val="1"/>
          <w:numId w:val="17"/>
        </w:numPr>
      </w:pPr>
      <w:r>
        <w:rPr/>
        <w:t xml:space="preserve">Hémoculture (ne doit jamais retarder l'antibiothérapie) </w:t>
      </w:r>
    </w:p>
    <w:p>
      <w:pPr>
        <w:numPr>
          <w:ilvl w:val="1"/>
          <w:numId w:val="17"/>
        </w:numPr>
      </w:pPr>
      <w:r>
        <w:rPr/>
        <w:t>Bilan d'hémostase (2, suspicion CIVD</w:t>
      </w:r>
    </w:p>
    <w:p>
      <w:pPr>
        <w:numPr>
          <w:ilvl w:val="1"/>
          <w:numId w:val="17"/>
        </w:numPr>
      </w:pPr>
      <w:r>
        <w:rPr/>
        <w:t>3:</w:t>
      </w:r>
      <w:r>
        <w:rPr/>
        <w:t xml:space="preserve"> ponction lombaire: contre-indiquée en cas d'état de choc, CIVD</w:t>
      </w:r>
    </w:p>
    <w:p>
      <w:pPr>
        <w:numPr>
          <w:ilvl w:val="1"/>
          <w:numId w:val="17"/>
        </w:numPr>
      </w:pPr>
      <w:r>
        <w:rPr/>
        <w:t>Biopsie cutanée en dernière intention : culture et PCR</w:t>
      </w:r>
    </w:p>
    <w:p>
      <w:pPr/>
    </w:p>
    <w:p>
      <w:pPr>
        <w:pStyle w:val="Heading2"/>
      </w:pPr>
      <w:r>
        <w:rPr/>
        <w:t>DIAGNOSTIC DIFFERENTIEL</w:t>
      </w:r>
    </w:p>
    <w:p>
      <w:pPr>
        <w:numPr>
          <w:ilvl w:val="0"/>
          <w:numId w:val="18"/>
        </w:numPr>
      </w:pPr>
      <w:r>
        <w:rPr/>
        <w:t>AUCUN DIAGNOSTIC DIFFERENTIEL : extensif en moins d'une heure</w:t>
      </w:r>
    </w:p>
    <w:p>
      <w:pPr>
        <w:numPr>
          <w:ilvl w:val="0"/>
          <w:numId w:val="18"/>
        </w:numPr>
      </w:pPr>
      <w:r>
        <w:rPr/>
        <w:t>Discuter d'une origine virale si, et seulement si :</w:t>
      </w:r>
    </w:p>
    <w:p>
      <w:pPr>
        <w:numPr>
          <w:ilvl w:val="1"/>
          <w:numId w:val="18"/>
        </w:numPr>
      </w:pPr>
      <w:r>
        <w:rPr/>
        <w:t>Purpura pétéchial et non extensif ou s'associe à un exanthème</w:t>
      </w:r>
    </w:p>
    <w:p>
      <w:pPr>
        <w:numPr>
          <w:ilvl w:val="1"/>
          <w:numId w:val="18"/>
        </w:numPr>
      </w:pPr>
      <w:r>
        <w:rPr/>
        <w:t>Etat général et hémodynamique corrects</w:t>
      </w:r>
    </w:p>
    <w:p>
      <w:pPr>
        <w:numPr>
          <w:ilvl w:val="1"/>
          <w:numId w:val="18"/>
        </w:numPr>
      </w:pPr>
      <w:r>
        <w:rPr/>
        <w:t>NFS, CRP, PCT n'évoquant pas une origine virale</w:t>
      </w:r>
      <w:r>
        <w:rPr/>
        <w:t xml:space="preserve"> </w:t>
      </w:r>
      <w:r>
        <w:rPr/>
        <w:t>(</w:t>
      </w:r>
      <w:r>
        <w:rPr>
          <w:i/>
        </w:rPr>
        <w:t xml:space="preserve">fa </w:t>
      </w:r>
      <w:r>
        <w:rPr>
          <w:i/>
        </w:rPr>
        <w:t>tsy</w:t>
      </w:r>
      <w:r>
        <w:rPr>
          <w:i/>
        </w:rPr>
        <w:t xml:space="preserve"> Bactérienne </w:t>
      </w:r>
      <w:r>
        <w:rPr>
          <w:i/>
        </w:rPr>
        <w:t>ve</w:t>
      </w:r>
      <w:r>
        <w:rPr/>
        <w:t xml:space="preserve"> ???) (</w:t>
      </w:r>
      <w:r>
        <w:rPr/>
        <w:t>Bilan</w:t>
      </w:r>
      <w:r>
        <w:rPr/>
        <w:t xml:space="preserve"> inflammatoire normal) </w:t>
      </w:r>
    </w:p>
    <w:p>
      <w:pPr>
        <w:numPr>
          <w:ilvl w:val="0"/>
          <w:numId w:val="18"/>
        </w:numPr>
      </w:pPr>
      <w:r>
        <w:rPr/>
        <w:t xml:space="preserve">Purpura lié à un déficit congénital homozygote en protéine C et S (période néonatale ou 1er mois de vie) </w:t>
      </w:r>
    </w:p>
    <w:p>
      <w:pPr>
        <w:numPr>
          <w:ilvl w:val="0"/>
          <w:numId w:val="18"/>
        </w:numPr>
      </w:pPr>
      <w:r>
        <w:rPr/>
        <w:t>Purpura compliqué d'une thrombose vasculaire par déficit acquis en protéine S</w:t>
      </w:r>
    </w:p>
    <w:p>
      <w:pPr>
        <w:numPr>
          <w:ilvl w:val="0"/>
          <w:numId w:val="18"/>
        </w:numPr>
      </w:pPr>
      <w:r>
        <w:rPr/>
        <w:t>Vascularite</w:t>
      </w:r>
    </w:p>
    <w:p>
      <w:pPr>
        <w:numPr>
          <w:ilvl w:val="0"/>
          <w:numId w:val="18"/>
        </w:numPr>
      </w:pPr>
      <w:r>
        <w:rPr/>
        <w:t>Hémopathie maligne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19"/>
        </w:numPr>
      </w:pPr>
      <w:r>
        <w:rPr/>
        <w:t xml:space="preserve">Infections à </w:t>
      </w:r>
      <w:r>
        <w:rPr>
          <w:b/>
          <w:sz w:val="26"/>
        </w:rPr>
        <w:t>méningocoques</w:t>
      </w:r>
      <w:r>
        <w:rPr/>
        <w:t xml:space="preserve"> : sérotype B (55%), C (35%), W135 (6%)</w:t>
      </w:r>
    </w:p>
    <w:p>
      <w:pPr>
        <w:numPr>
          <w:ilvl w:val="0"/>
          <w:numId w:val="19"/>
        </w:numPr>
      </w:pPr>
      <w:r>
        <w:rPr/>
        <w:t xml:space="preserve">Autres causes rares : </w:t>
      </w:r>
      <w:r>
        <w:rPr>
          <w:i/>
        </w:rPr>
        <w:t xml:space="preserve">Streptococcus </w:t>
      </w:r>
      <w:r>
        <w:rPr>
          <w:i/>
        </w:rPr>
        <w:t>pneumoniae</w:t>
      </w:r>
      <w:r>
        <w:rPr>
          <w:i/>
        </w:rPr>
        <w:t>, Haemophilus influenzae, Staphylococcus aureus</w:t>
      </w:r>
    </w:p>
    <w:p>
      <w:pPr>
        <w:numPr>
          <w:ilvl w:val="0"/>
          <w:numId w:val="19"/>
        </w:numPr>
      </w:pPr>
      <w:r>
        <w:rPr>
          <w:b/>
        </w:rPr>
        <w:t>Facteurs de risque de PF ou Infection Invasive à Méningocoque</w:t>
      </w:r>
    </w:p>
    <w:p>
      <w:pPr>
        <w:numPr>
          <w:ilvl w:val="1"/>
          <w:numId w:val="19"/>
        </w:numPr>
      </w:pPr>
      <w:r>
        <w:rPr/>
        <w:t>Asplénie</w:t>
      </w:r>
      <w:r>
        <w:rPr/>
        <w:t xml:space="preserve"> (anatomique ou </w:t>
      </w:r>
      <w:r>
        <w:rPr/>
        <w:t>fonctionnelle :</w:t>
      </w:r>
      <w:r>
        <w:rPr/>
        <w:t xml:space="preserve"> </w:t>
      </w:r>
      <w:r>
        <w:rPr>
          <w:i/>
        </w:rPr>
        <w:t>drépanocytaire homozygote</w:t>
      </w:r>
      <w:r>
        <w:rPr/>
        <w:t>)</w:t>
      </w:r>
    </w:p>
    <w:p>
      <w:pPr>
        <w:numPr>
          <w:ilvl w:val="1"/>
          <w:numId w:val="19"/>
        </w:numPr>
      </w:pPr>
      <w:r>
        <w:rPr/>
        <w:t>Déficit en properdine, complément, protéine C et autres protéines impliquées dans la coagulation</w:t>
      </w:r>
    </w:p>
    <w:p>
      <w:pPr>
        <w:numPr>
          <w:ilvl w:val="1"/>
          <w:numId w:val="19"/>
        </w:numPr>
      </w:pPr>
      <w:r>
        <w:rPr/>
        <w:t xml:space="preserve">Traitement par </w:t>
      </w:r>
      <w:r>
        <w:rPr/>
        <w:t>Eculizimab</w:t>
      </w:r>
    </w:p>
    <w:p>
      <w:pPr>
        <w:numPr>
          <w:ilvl w:val="1"/>
          <w:numId w:val="19"/>
        </w:numPr>
      </w:pPr>
      <w:r>
        <w:rPr/>
        <w:t xml:space="preserve">Facteurs génétiques (immunité innée) </w:t>
      </w:r>
    </w:p>
    <w:p>
      <w:pPr/>
    </w:p>
    <w:p>
      <w:pPr>
        <w:pStyle w:val="Heading2"/>
      </w:pPr>
      <w:r>
        <w:rPr/>
        <w:t>PRISE EN CHARGE</w:t>
      </w:r>
    </w:p>
    <w:p>
      <w:pPr>
        <w:pStyle w:val="Heading3"/>
        <w:numPr>
          <w:ilvl w:val="0"/>
          <w:numId w:val="58"/>
        </w:numPr>
      </w:pPr>
      <w:r>
        <w:rPr/>
        <w:t>CAT immédiate</w:t>
      </w:r>
    </w:p>
    <w:p>
      <w:pPr>
        <w:numPr>
          <w:ilvl w:val="1"/>
          <w:numId w:val="20"/>
        </w:numPr>
      </w:pPr>
      <w:r>
        <w:rPr/>
        <w:t>Mise en condition et remplissage :</w:t>
      </w:r>
    </w:p>
    <w:p>
      <w:pPr>
        <w:numPr>
          <w:ilvl w:val="2"/>
          <w:numId w:val="20"/>
        </w:numPr>
      </w:pPr>
      <w:r>
        <w:rPr/>
        <w:t xml:space="preserve">VVP de bon calibre (ou même voie intra-osseuse) </w:t>
      </w:r>
    </w:p>
    <w:p>
      <w:pPr>
        <w:numPr>
          <w:ilvl w:val="2"/>
          <w:numId w:val="20"/>
        </w:numPr>
      </w:pPr>
      <w:r>
        <w:rPr/>
        <w:t>Remplissage SSI 0,9% ou RL 20ml/kg à passer en 20 minutes</w:t>
      </w:r>
    </w:p>
    <w:p>
      <w:pPr>
        <w:numPr>
          <w:ilvl w:val="1"/>
          <w:numId w:val="20"/>
        </w:numPr>
      </w:pPr>
      <w:r>
        <w:rPr/>
        <w:t xml:space="preserve">En </w:t>
      </w:r>
      <w:r>
        <w:rPr/>
        <w:t>pré-hospitalière</w:t>
      </w:r>
      <w:r>
        <w:rPr/>
        <w:t xml:space="preserve"> : Ceftriaxone 50mg/kg (ou </w:t>
      </w:r>
      <w:r>
        <w:rPr/>
        <w:t>Cefotaxime</w:t>
      </w:r>
      <w:r>
        <w:rPr/>
        <w:t xml:space="preserve"> ou Amoxicilline, ampicilline : 100mg/kg) IV ou IM</w:t>
      </w:r>
    </w:p>
    <w:p>
      <w:pPr>
        <w:numPr>
          <w:ilvl w:val="1"/>
          <w:numId w:val="20"/>
        </w:numPr>
      </w:pPr>
      <w:r>
        <w:rPr/>
        <w:t>Transfert en réanimation pédiatrique</w:t>
      </w:r>
    </w:p>
    <w:p>
      <w:pPr>
        <w:pStyle w:val="Heading3"/>
        <w:numPr>
          <w:ilvl w:val="0"/>
          <w:numId w:val="58"/>
        </w:numPr>
      </w:pPr>
      <w:r>
        <w:rPr/>
        <w:t>Traitement curatif</w:t>
      </w:r>
    </w:p>
    <w:p>
      <w:pPr>
        <w:pStyle w:val="Heading4"/>
      </w:pPr>
      <w:r>
        <w:rPr/>
        <w:t>Buts</w:t>
      </w:r>
      <w:r>
        <w:rPr/>
      </w:r>
      <w:r>
        <w:rPr/>
        <w:t xml:space="preserve">: </w:t>
      </w:r>
    </w:p>
    <w:p>
      <w:pPr>
        <w:numPr>
          <w:ilvl w:val="2"/>
          <w:numId w:val="20"/>
        </w:numPr>
      </w:pPr>
      <w:r>
        <w:rPr/>
        <w:t xml:space="preserve">Maintenir un bon état hémodynamique et </w:t>
      </w:r>
      <w:r>
        <w:rPr/>
        <w:t>une homéostasie correcte</w:t>
      </w:r>
    </w:p>
    <w:p>
      <w:pPr>
        <w:numPr>
          <w:ilvl w:val="2"/>
          <w:numId w:val="20"/>
        </w:numPr>
      </w:pPr>
      <w:r>
        <w:rPr/>
        <w:t>Traiter la cause :</w:t>
      </w:r>
      <w:r>
        <w:rPr>
          <w:i/>
        </w:rPr>
        <w:t xml:space="preserve"> antibiotique</w:t>
      </w:r>
    </w:p>
    <w:p>
      <w:pPr>
        <w:pStyle w:val="Heading4"/>
      </w:pPr>
      <w:r>
        <w:rPr/>
        <w:t>Moyens</w:t>
      </w:r>
    </w:p>
    <w:p>
      <w:pPr>
        <w:numPr>
          <w:ilvl w:val="2"/>
          <w:numId w:val="20"/>
        </w:numPr>
      </w:pPr>
      <w:r>
        <w:rPr/>
        <w:t xml:space="preserve">Traitement étiologique : antibiotiques, </w:t>
      </w:r>
      <w:r>
        <w:rPr>
          <w:i/>
        </w:rPr>
        <w:t>oxygénothérapie, décubitus dorsal à plat pour assurer la perfusion cérébrale</w:t>
      </w:r>
    </w:p>
    <w:p>
      <w:pPr>
        <w:numPr>
          <w:ilvl w:val="2"/>
          <w:numId w:val="20"/>
        </w:numPr>
      </w:pPr>
      <w:r>
        <w:rPr/>
        <w:t>Traitement du sepsis grave ou choc septique</w:t>
      </w:r>
    </w:p>
    <w:p>
      <w:pPr>
        <w:numPr>
          <w:ilvl w:val="2"/>
          <w:numId w:val="20"/>
        </w:numPr>
      </w:pPr>
      <w:r>
        <w:rPr/>
        <w:t>Traitements non conventionnels</w:t>
      </w:r>
    </w:p>
    <w:p>
      <w:pPr>
        <w:pStyle w:val="Heading4"/>
      </w:pPr>
      <w:r>
        <w:rPr/>
        <w:t>Indications</w:t>
      </w:r>
    </w:p>
    <w:p>
      <w:pPr>
        <w:numPr>
          <w:ilvl w:val="2"/>
          <w:numId w:val="20"/>
        </w:numPr>
      </w:pPr>
      <w:r>
        <w:rPr>
          <w:b/>
        </w:rPr>
        <w:t>Antibiothérapie</w:t>
      </w:r>
    </w:p>
    <w:p>
      <w:pPr>
        <w:numPr>
          <w:ilvl w:val="3"/>
          <w:numId w:val="20"/>
        </w:numPr>
      </w:pPr>
      <w:r>
        <w:rPr/>
        <w:t xml:space="preserve">Ceftriaxone 50 mg/kg/j après la 1ère dose ou </w:t>
      </w:r>
      <w:r>
        <w:rPr/>
        <w:t>Céfotaxime</w:t>
      </w:r>
      <w:r>
        <w:rPr/>
        <w:t xml:space="preserve"> 100mg/kg/j en 3-4 fois (200mg/kg/j si méningite associée) </w:t>
      </w:r>
    </w:p>
    <w:p>
      <w:pPr>
        <w:numPr>
          <w:ilvl w:val="3"/>
          <w:numId w:val="20"/>
        </w:numPr>
      </w:pPr>
      <w:r>
        <w:rPr/>
        <w:t>Traitement du sepsis sévère : remplissage 20 ml/kg de SSI, O2</w:t>
      </w:r>
    </w:p>
    <w:p>
      <w:pPr>
        <w:numPr>
          <w:ilvl w:val="3"/>
          <w:numId w:val="20"/>
        </w:numPr>
      </w:pPr>
      <w:r>
        <w:rPr/>
        <w:t>Traitement du choc : inotropes (</w:t>
      </w:r>
      <w:r>
        <w:rPr>
          <w:i/>
        </w:rPr>
        <w:t xml:space="preserve">adrénaline à dose continue en PSE, noradrénaline, dopamine), </w:t>
      </w:r>
      <w:r>
        <w:rPr/>
        <w:t>hémisuccinate</w:t>
      </w:r>
      <w:r>
        <w:rPr/>
        <w:t xml:space="preserve"> d'hydrocortisone, </w:t>
      </w:r>
      <w:r>
        <w:rPr>
          <w:b/>
        </w:rPr>
        <w:t>assistance ventilatoire</w:t>
      </w:r>
    </w:p>
    <w:p>
      <w:pPr>
        <w:numPr>
          <w:ilvl w:val="2"/>
          <w:numId w:val="20"/>
        </w:numPr>
      </w:pPr>
      <w:r>
        <w:rPr>
          <w:b/>
        </w:rPr>
        <w:t>Traitements non conventionnels :</w:t>
      </w:r>
    </w:p>
    <w:p>
      <w:pPr>
        <w:numPr>
          <w:ilvl w:val="3"/>
          <w:numId w:val="20"/>
        </w:numPr>
      </w:pPr>
      <w:r>
        <w:rPr/>
        <w:t xml:space="preserve">Combattre la cascade inflammatoire : immunothérapie, </w:t>
      </w:r>
      <w:r>
        <w:rPr/>
        <w:t>hémofiltration</w:t>
      </w:r>
    </w:p>
    <w:p>
      <w:pPr>
        <w:numPr>
          <w:ilvl w:val="3"/>
          <w:numId w:val="20"/>
        </w:numPr>
      </w:pPr>
      <w:r>
        <w:rPr/>
        <w:t>Traiter les anomalies de l'hémostase : antithrombine, protéine C, activateur du plasminogène (</w:t>
      </w:r>
      <w:r>
        <w:rPr/>
        <w:t>rTPA</w:t>
      </w:r>
      <w:r>
        <w:rPr/>
        <w:t xml:space="preserve">), TFPI, échanges plasmatiques, sangsues (Hirudine) </w:t>
      </w:r>
    </w:p>
    <w:p>
      <w:pPr>
        <w:numPr>
          <w:ilvl w:val="3"/>
          <w:numId w:val="20"/>
        </w:numPr>
      </w:pPr>
      <w:r>
        <w:rPr/>
        <w:t xml:space="preserve">Induire une vasodilatation : prostacycline, </w:t>
      </w:r>
      <w:r>
        <w:rPr/>
        <w:t>nitroprussiate</w:t>
      </w:r>
      <w:r>
        <w:rPr/>
        <w:t xml:space="preserve"> de sodium, bloc sympathique, nitroglycérine crème</w:t>
      </w:r>
    </w:p>
    <w:p>
      <w:pPr>
        <w:numPr>
          <w:ilvl w:val="3"/>
          <w:numId w:val="20"/>
        </w:numPr>
      </w:pPr>
      <w:r>
        <w:rPr/>
        <w:t xml:space="preserve">Autres : </w:t>
      </w:r>
      <w:r>
        <w:rPr/>
        <w:t>fasciotonine</w:t>
      </w:r>
      <w:r>
        <w:rPr/>
        <w:t xml:space="preserve">, oxygénation </w:t>
      </w:r>
      <w:r>
        <w:rPr/>
        <w:t>hyperbarre</w:t>
      </w:r>
      <w:r>
        <w:rPr/>
        <w:t>, oxygénation extra-corporelle</w:t>
      </w:r>
    </w:p>
    <w:p>
      <w:pPr>
        <w:pStyle w:val="Heading3"/>
        <w:numPr>
          <w:ilvl w:val="0"/>
          <w:numId w:val="58"/>
        </w:numPr>
      </w:pPr>
      <w:r>
        <w:rPr/>
        <w:t>Traitement préventif</w:t>
      </w:r>
    </w:p>
    <w:p>
      <w:pPr>
        <w:numPr>
          <w:ilvl w:val="1"/>
          <w:numId w:val="20"/>
        </w:numPr>
      </w:pPr>
      <w:r>
        <w:rPr/>
        <w:t>Autour d'un cas-</w:t>
      </w:r>
      <w:r>
        <w:rPr/>
      </w:r>
      <w:r>
        <w:rPr/>
        <w:t xml:space="preserve"> </w:t>
      </w:r>
      <w:r>
        <w:rPr>
          <w:b/>
        </w:rPr>
        <w:t xml:space="preserve">chimioprophylaxie (H48-J10) </w:t>
      </w:r>
    </w:p>
    <w:p>
      <w:pPr>
        <w:numPr>
          <w:ilvl w:val="2"/>
          <w:numId w:val="20"/>
        </w:numPr>
      </w:pPr>
      <w:r>
        <w:rPr/>
        <w:t xml:space="preserve">Rifampicine pendant 2 jours : </w:t>
      </w:r>
    </w:p>
    <w:p>
      <w:pPr>
        <w:numPr>
          <w:ilvl w:val="3"/>
          <w:numId w:val="20"/>
        </w:numPr>
      </w:pPr>
      <w:r>
        <w:rPr/>
        <w:t xml:space="preserve">600 mg x2/j si adulte ; </w:t>
      </w:r>
    </w:p>
    <w:p>
      <w:pPr>
        <w:numPr>
          <w:ilvl w:val="3"/>
          <w:numId w:val="20"/>
        </w:numPr>
      </w:pPr>
      <w:r>
        <w:rPr/>
        <w:t>10mg/kg x2/j si enfant ;</w:t>
      </w:r>
    </w:p>
    <w:p>
      <w:pPr>
        <w:numPr>
          <w:ilvl w:val="3"/>
          <w:numId w:val="20"/>
        </w:numPr>
      </w:pPr>
      <w:r>
        <w:rPr/>
        <w:t>5 mg/kg x2/j si nouveau-né</w:t>
      </w:r>
    </w:p>
    <w:p>
      <w:pPr>
        <w:numPr>
          <w:ilvl w:val="2"/>
          <w:numId w:val="20"/>
        </w:numPr>
      </w:pPr>
      <w:r>
        <w:rPr/>
        <w:t>Si contre-</w:t>
      </w:r>
      <w:r>
        <w:rPr/>
        <w:t>indication (</w:t>
      </w:r>
      <w:r>
        <w:rPr/>
        <w:t xml:space="preserve">IHC sévère) : </w:t>
      </w:r>
    </w:p>
    <w:p>
      <w:pPr>
        <w:numPr>
          <w:ilvl w:val="3"/>
          <w:numId w:val="20"/>
        </w:numPr>
      </w:pPr>
      <w:r>
        <w:rPr/>
        <w:t>Spiramycine</w:t>
      </w:r>
      <w:r>
        <w:rPr/>
        <w:t xml:space="preserve"> </w:t>
      </w:r>
    </w:p>
    <w:p>
      <w:pPr>
        <w:numPr>
          <w:ilvl w:val="4"/>
          <w:numId w:val="20"/>
        </w:numPr>
      </w:pPr>
      <w:r>
        <w:rPr/>
        <w:t>750.000 UI/Kg x2/j si enfant</w:t>
      </w:r>
    </w:p>
    <w:p>
      <w:pPr>
        <w:numPr>
          <w:ilvl w:val="4"/>
          <w:numId w:val="20"/>
        </w:numPr>
      </w:pPr>
      <w:r>
        <w:rPr/>
        <w:t xml:space="preserve">3MUI x2/j si adulte (5 jours) </w:t>
      </w:r>
    </w:p>
    <w:p>
      <w:pPr>
        <w:numPr>
          <w:ilvl w:val="4"/>
          <w:numId w:val="20"/>
        </w:numPr>
      </w:pPr>
      <w:r>
        <w:rPr/>
        <w:t>Ou ceftriaxone ou ciprofloxacine</w:t>
      </w:r>
    </w:p>
    <w:p>
      <w:pPr>
        <w:numPr>
          <w:ilvl w:val="2"/>
          <w:numId w:val="20"/>
        </w:numPr>
      </w:pPr>
      <w:r>
        <w:rPr/>
        <w:t xml:space="preserve">Si IIM répétées dans la </w:t>
      </w:r>
      <w:r>
        <w:rPr/>
        <w:t>communauté</w:t>
      </w:r>
      <w:r>
        <w:rPr/>
        <w:t xml:space="preserve"> (Rifampicine depuis plus de 10 j et </w:t>
      </w:r>
      <w:r>
        <w:rPr/>
      </w:r>
      <w:r>
        <w:rPr/>
        <w:t xml:space="preserve">5 mois) : </w:t>
      </w:r>
      <w:r>
        <w:rPr/>
        <w:t>Ceftri</w:t>
      </w:r>
      <w:r>
        <w:rPr/>
        <w:t xml:space="preserve"> ou </w:t>
      </w:r>
      <w:r>
        <w:rPr/>
        <w:t>Cipro</w:t>
      </w:r>
      <w:r>
        <w:rPr/>
        <w:t xml:space="preserve"> dose unique (</w:t>
      </w:r>
      <w:r>
        <w:rPr>
          <w:i/>
        </w:rPr>
        <w:t>tsy</w:t>
      </w:r>
      <w:r>
        <w:rPr>
          <w:i/>
        </w:rPr>
        <w:t xml:space="preserve"> </w:t>
      </w:r>
      <w:r>
        <w:rPr>
          <w:i/>
        </w:rPr>
        <w:t>misy</w:t>
      </w:r>
      <w:r>
        <w:rPr>
          <w:i/>
        </w:rPr>
        <w:t xml:space="preserve"> rifampicine </w:t>
      </w:r>
      <w:r>
        <w:rPr>
          <w:i/>
        </w:rPr>
        <w:t>intsony</w:t>
      </w:r>
      <w:r>
        <w:rPr>
          <w:i/>
        </w:rPr>
        <w:t xml:space="preserve">) </w:t>
      </w:r>
    </w:p>
    <w:p>
      <w:pPr>
        <w:numPr>
          <w:ilvl w:val="1"/>
          <w:numId w:val="20"/>
        </w:numPr>
      </w:pPr>
      <w:r>
        <w:rPr/>
        <w:t xml:space="preserve">Vaccination anti-méningococcique (A, C, Y, W135) </w:t>
      </w:r>
    </w:p>
    <w:p>
      <w:pPr>
        <w:numPr>
          <w:ilvl w:val="2"/>
          <w:numId w:val="20"/>
        </w:numPr>
      </w:pPr>
      <w:r>
        <w:rPr/>
        <w:t>A débuter avant J10</w:t>
      </w:r>
    </w:p>
    <w:p>
      <w:pPr>
        <w:numPr>
          <w:ilvl w:val="2"/>
          <w:numId w:val="20"/>
        </w:numPr>
      </w:pPr>
      <w:r>
        <w:rPr/>
        <w:t>Sujets justifiant une chimioprophylaxie et appartenant à l'entourage familial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