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color w:val="C00000"/>
          <w:sz w:val="32"/>
        </w:rPr>
        <w:t>PURPURA RHUMATOÏDE OU MALADIE DE SCHONLEIN-HENOCH</w:t>
      </w:r>
      <w:r>
        <w:rPr>
          <w:b w:val="0"/>
          <w:color w:val="C00000"/>
          <w:sz w:val="32"/>
        </w:rPr>
        <w:t xml:space="preserve"> </w:t>
      </w:r>
    </w:p>
    <w:p>
      <w:pPr>
        <w:pStyle w:val="Heading2"/>
      </w:pPr>
      <w:r>
        <w:rPr/>
        <w:t>Objectifs :</w:t>
      </w:r>
      <w:r>
        <w:rPr/>
        <w:t xml:space="preserve"> QE</w:t>
      </w:r>
    </w:p>
    <w:p>
      <w:pPr>
        <w:numPr>
          <w:ilvl w:val="0"/>
          <w:numId w:val="12"/>
        </w:numPr>
      </w:pPr>
      <w:r>
        <w:rPr/>
        <w:t>Poser le diagnostic</w:t>
      </w:r>
    </w:p>
    <w:p>
      <w:pPr>
        <w:numPr>
          <w:ilvl w:val="0"/>
          <w:numId w:val="12"/>
        </w:numPr>
      </w:pPr>
      <w:r>
        <w:rPr/>
        <w:t>Citer les principales complications</w:t>
      </w:r>
    </w:p>
    <w:p>
      <w:pPr>
        <w:numPr>
          <w:ilvl w:val="0"/>
          <w:numId w:val="12"/>
        </w:numPr>
      </w:pPr>
      <w:r>
        <w:rPr/>
        <w:t>Citer les éléments de surveillance</w:t>
      </w:r>
    </w:p>
    <w:p>
      <w:pPr>
        <w:pStyle w:val="Heading2"/>
      </w:pPr>
      <w:r>
        <w:rPr/>
        <w:t>INTRODUCTION</w:t>
      </w:r>
    </w:p>
    <w:p>
      <w:pPr>
        <w:numPr>
          <w:ilvl w:val="0"/>
          <w:numId w:val="13"/>
        </w:numPr>
      </w:pPr>
      <w:r>
        <w:rPr>
          <w:b/>
        </w:rPr>
        <w:t>Vascularite systémique</w:t>
      </w:r>
    </w:p>
    <w:p>
      <w:pPr>
        <w:numPr>
          <w:ilvl w:val="0"/>
          <w:numId w:val="13"/>
        </w:numPr>
      </w:pPr>
      <w:r>
        <w:rPr/>
        <w:t>D’origine</w:t>
      </w:r>
      <w:r>
        <w:rPr/>
        <w:t xml:space="preserve"> immuno-allergique</w:t>
      </w:r>
    </w:p>
    <w:p>
      <w:pPr>
        <w:numPr>
          <w:ilvl w:val="0"/>
          <w:numId w:val="13"/>
        </w:numPr>
      </w:pPr>
      <w:r>
        <w:rPr>
          <w:b/>
        </w:rPr>
        <w:t xml:space="preserve">Par dépôt </w:t>
      </w:r>
      <w:r>
        <w:rPr>
          <w:b/>
        </w:rPr>
        <w:t>d’IgA</w:t>
      </w:r>
      <w:r>
        <w:rPr>
          <w:b/>
        </w:rPr>
        <w:t xml:space="preserve"> dans les parois des petits vaisseaux </w:t>
      </w:r>
      <w:r>
        <w:rPr/>
        <w:t>: peau, tube digestif, articulations, reins</w:t>
      </w:r>
    </w:p>
    <w:p>
      <w:pPr>
        <w:numPr>
          <w:ilvl w:val="0"/>
          <w:numId w:val="13"/>
        </w:numPr>
      </w:pPr>
      <w:r>
        <w:rPr>
          <w:b/>
        </w:rPr>
        <w:t>Atteinte rénale : une des complications les plus redoutables</w:t>
      </w:r>
      <w:r>
        <w:rPr/>
        <w:t xml:space="preserve"> et a une valeur pronostique dans l’évolution de la maladie</w:t>
      </w:r>
    </w:p>
    <w:p>
      <w:pPr>
        <w:numPr>
          <w:ilvl w:val="0"/>
          <w:numId w:val="13"/>
        </w:numPr>
      </w:pPr>
      <w:r>
        <w:rPr/>
        <w:t xml:space="preserve">Vascularite </w:t>
      </w:r>
      <w:r>
        <w:rPr>
          <w:b/>
        </w:rPr>
        <w:t xml:space="preserve">la plus fréquente </w:t>
      </w:r>
      <w:r>
        <w:rPr/>
        <w:t>en pédiatrie</w:t>
      </w:r>
    </w:p>
    <w:p>
      <w:pPr>
        <w:numPr>
          <w:ilvl w:val="0"/>
          <w:numId w:val="13"/>
        </w:numPr>
      </w:pPr>
      <w:r>
        <w:rPr/>
        <w:t xml:space="preserve">Âge entre </w:t>
      </w:r>
      <w:r>
        <w:rPr>
          <w:b/>
        </w:rPr>
        <w:t>2 à 11 ans</w:t>
      </w:r>
      <w:r>
        <w:rPr/>
        <w:t xml:space="preserve"> : 75% des cas</w:t>
      </w:r>
    </w:p>
    <w:p>
      <w:pPr>
        <w:numPr>
          <w:ilvl w:val="0"/>
          <w:numId w:val="13"/>
        </w:numPr>
      </w:pPr>
      <w:r>
        <w:rPr/>
        <w:t>Incidence mondiale : 15 cas pour 100.000 enfants par an</w:t>
      </w:r>
    </w:p>
    <w:p>
      <w:pPr/>
    </w:p>
    <w:p>
      <w:pPr>
        <w:pStyle w:val="Heading2"/>
      </w:pPr>
      <w:r>
        <w:rPr/>
        <w:t>DIAGNOSTIC POSITIF</w:t>
      </w:r>
    </w:p>
    <w:p>
      <w:pPr>
        <w:pStyle w:val="Heading3"/>
      </w:pPr>
      <w:r>
        <w:rPr/>
        <w:t>Type de description : forme typique</w:t>
      </w:r>
    </w:p>
    <w:p>
      <w:pPr>
        <w:pStyle w:val="Heading4"/>
      </w:pPr>
      <w:r>
        <w:rPr/>
        <w:t>Clinique : +++</w:t>
      </w:r>
    </w:p>
    <w:p>
      <w:pPr>
        <w:numPr>
          <w:ilvl w:val="1"/>
          <w:numId w:val="14"/>
        </w:numPr>
      </w:pPr>
      <w:r>
        <w:rPr>
          <w:b/>
        </w:rPr>
        <w:t>Triade caractéristique :</w:t>
      </w:r>
    </w:p>
    <w:p>
      <w:pPr>
        <w:pStyle w:val="Heading5"/>
      </w:pPr>
      <w:r>
        <w:rPr/>
        <w:t>Purpura vasculaire</w:t>
      </w:r>
    </w:p>
    <w:p>
      <w:pPr>
        <w:numPr>
          <w:ilvl w:val="3"/>
          <w:numId w:val="14"/>
        </w:numPr>
      </w:pPr>
      <w:r>
        <w:rPr/>
        <w:t>Bilatéral, symétrique</w:t>
      </w:r>
    </w:p>
    <w:p>
      <w:pPr>
        <w:numPr>
          <w:ilvl w:val="3"/>
          <w:numId w:val="14"/>
        </w:numPr>
      </w:pPr>
      <w:r>
        <w:rPr/>
        <w:t xml:space="preserve">Palpable </w:t>
      </w:r>
      <w:r>
        <w:rPr>
          <w:i/>
        </w:rPr>
        <w:t>(petite voussure surtout si ecchymose)</w:t>
      </w:r>
    </w:p>
    <w:p>
      <w:pPr>
        <w:numPr>
          <w:ilvl w:val="3"/>
          <w:numId w:val="14"/>
        </w:numPr>
      </w:pPr>
      <w:r>
        <w:rPr/>
        <w:t>Pétéchial</w:t>
      </w:r>
      <w:r>
        <w:rPr/>
        <w:t xml:space="preserve"> </w:t>
      </w:r>
      <w:r>
        <w:rPr/>
        <w:t>(</w:t>
      </w:r>
      <w:r>
        <w:rPr>
          <w:i/>
        </w:rPr>
        <w:t>petits points)</w:t>
      </w:r>
      <w:r>
        <w:rPr/>
        <w:t xml:space="preserve"> ou ecchymotique</w:t>
      </w:r>
      <w:r>
        <w:rPr/>
        <w:t xml:space="preserve"> </w:t>
      </w:r>
      <w:r>
        <w:rPr>
          <w:i/>
        </w:rPr>
        <w:t>(beaucoup plus grands)</w:t>
      </w:r>
    </w:p>
    <w:p>
      <w:pPr>
        <w:numPr>
          <w:ilvl w:val="3"/>
          <w:numId w:val="14"/>
        </w:numPr>
      </w:pPr>
      <w:r>
        <w:rPr/>
        <w:t>Déclive : prédominant aux membres inférieurs</w:t>
      </w:r>
    </w:p>
    <w:p>
      <w:pPr>
        <w:numPr>
          <w:ilvl w:val="3"/>
          <w:numId w:val="14"/>
        </w:numPr>
      </w:pPr>
      <w:r>
        <w:rPr/>
        <w:t>Majoré par l’orthostatisme</w:t>
      </w:r>
      <w:r>
        <w:rPr/>
        <w:br/>
      </w:r>
    </w:p>
    <w:p>
      <w:pPr>
        <w:pStyle w:val="Heading5"/>
      </w:pPr>
      <w:r>
        <w:rPr/>
        <w:t>Douleur abdominale</w:t>
      </w:r>
    </w:p>
    <w:p>
      <w:pPr>
        <w:numPr>
          <w:ilvl w:val="3"/>
          <w:numId w:val="14"/>
        </w:numPr>
      </w:pPr>
      <w:r>
        <w:rPr/>
        <w:t>À type de crampes</w:t>
      </w:r>
    </w:p>
    <w:p>
      <w:pPr>
        <w:numPr>
          <w:ilvl w:val="3"/>
          <w:numId w:val="14"/>
        </w:numPr>
      </w:pPr>
      <w:r>
        <w:rPr/>
        <w:t>Localisées ou diffuses</w:t>
      </w:r>
    </w:p>
    <w:p>
      <w:pPr>
        <w:numPr>
          <w:ilvl w:val="3"/>
          <w:numId w:val="14"/>
        </w:numPr>
      </w:pPr>
      <w:r>
        <w:rPr/>
        <w:t>Paroxystiques</w:t>
      </w:r>
    </w:p>
    <w:p>
      <w:pPr>
        <w:numPr>
          <w:ilvl w:val="3"/>
          <w:numId w:val="14"/>
        </w:numPr>
      </w:pPr>
      <w:r>
        <w:rPr/>
        <w:t>Parfois très intenses</w:t>
      </w:r>
    </w:p>
    <w:p>
      <w:pPr>
        <w:numPr>
          <w:ilvl w:val="3"/>
          <w:numId w:val="14"/>
        </w:numPr>
      </w:pPr>
      <w:r>
        <w:rPr/>
        <w:t xml:space="preserve">Avec ou sans vomissements - </w:t>
      </w:r>
      <w:r>
        <w:rPr/>
        <w:t>troubles</w:t>
      </w:r>
      <w:r>
        <w:rPr/>
        <w:t xml:space="preserve"> du transit</w:t>
      </w:r>
      <w:r>
        <w:rPr/>
        <w:br/>
      </w:r>
    </w:p>
    <w:p>
      <w:pPr>
        <w:pStyle w:val="Heading5"/>
      </w:pPr>
      <w:r>
        <w:rPr/>
        <w:t>Douleur articulaire</w:t>
      </w:r>
    </w:p>
    <w:p>
      <w:pPr>
        <w:numPr>
          <w:ilvl w:val="3"/>
          <w:numId w:val="14"/>
        </w:numPr>
      </w:pPr>
      <w:r>
        <w:rPr/>
        <w:t>Arthralgie ou arthrites</w:t>
      </w:r>
    </w:p>
    <w:p>
      <w:pPr>
        <w:numPr>
          <w:ilvl w:val="3"/>
          <w:numId w:val="14"/>
        </w:numPr>
      </w:pPr>
      <w:r>
        <w:rPr/>
        <w:t>Oligo articulaires</w:t>
      </w:r>
    </w:p>
    <w:p>
      <w:pPr>
        <w:numPr>
          <w:ilvl w:val="3"/>
          <w:numId w:val="14"/>
        </w:numPr>
      </w:pPr>
      <w:r>
        <w:rPr/>
        <w:t>Grosses articulations : chevilles, genoux +++</w:t>
      </w:r>
    </w:p>
    <w:p>
      <w:pPr>
        <w:numPr>
          <w:ilvl w:val="3"/>
          <w:numId w:val="14"/>
        </w:numPr>
      </w:pPr>
      <w:r>
        <w:rPr/>
        <w:t>Non migratrices</w:t>
      </w:r>
      <w:r>
        <w:rPr/>
        <w:br/>
      </w:r>
    </w:p>
    <w:p>
      <w:pPr>
        <w:numPr>
          <w:ilvl w:val="1"/>
          <w:numId w:val="14"/>
        </w:numPr>
      </w:pPr>
      <w:r>
        <w:rPr>
          <w:b/>
        </w:rPr>
        <w:t>État général conservé</w:t>
      </w:r>
    </w:p>
    <w:p>
      <w:pPr>
        <w:numPr>
          <w:ilvl w:val="1"/>
          <w:numId w:val="14"/>
        </w:numPr>
      </w:pPr>
      <w:r>
        <w:rPr/>
        <w:t>Évolution par poussée : de quelques jours à quelques semaines</w:t>
      </w:r>
      <w:r>
        <w:rPr/>
        <w:br/>
      </w:r>
    </w:p>
    <w:p>
      <w:pPr>
        <w:pStyle w:val="Heading4"/>
      </w:pPr>
      <w:r>
        <w:rPr/>
        <w:t>Paraclinique</w:t>
      </w:r>
    </w:p>
    <w:p>
      <w:pPr>
        <w:numPr>
          <w:ilvl w:val="1"/>
          <w:numId w:val="14"/>
        </w:numPr>
      </w:pPr>
      <w:r>
        <w:rPr/>
        <w:t>Biologie :</w:t>
      </w:r>
    </w:p>
    <w:p>
      <w:pPr>
        <w:numPr>
          <w:ilvl w:val="2"/>
          <w:numId w:val="14"/>
        </w:numPr>
      </w:pPr>
      <w:r>
        <w:rPr/>
        <w:t>NFS-plaquette : normales</w:t>
      </w:r>
    </w:p>
    <w:p>
      <w:pPr>
        <w:numPr>
          <w:ilvl w:val="1"/>
          <w:numId w:val="14"/>
        </w:numPr>
      </w:pPr>
      <w:r>
        <w:rPr/>
        <w:t>Bandelette urinaire : recherche d’hématurie et de protéinurie</w:t>
      </w:r>
    </w:p>
    <w:p>
      <w:pPr/>
    </w:p>
    <w:p>
      <w:pPr>
        <w:pStyle w:val="Heading3"/>
      </w:pPr>
      <w:r>
        <w:rPr/>
        <w:t xml:space="preserve">Formes </w:t>
      </w:r>
      <w:r>
        <w:rPr/>
        <w:t>cliniques :</w:t>
      </w:r>
    </w:p>
    <w:p>
      <w:pPr>
        <w:pStyle w:val="Heading4"/>
      </w:pPr>
      <w:r>
        <w:rPr/>
        <w:t xml:space="preserve">Selon l’âge : </w:t>
      </w:r>
      <w:r>
        <w:rPr/>
        <w:t>œdème</w:t>
      </w:r>
      <w:r>
        <w:rPr/>
        <w:t xml:space="preserve"> aigu hémorragique du nourrisson&lt;2ans</w:t>
      </w:r>
    </w:p>
    <w:p>
      <w:pPr>
        <w:numPr>
          <w:ilvl w:val="1"/>
          <w:numId w:val="15"/>
        </w:numPr>
      </w:pPr>
      <w:r>
        <w:rPr/>
        <w:t xml:space="preserve">Purpura </w:t>
      </w:r>
      <w:r>
        <w:rPr/>
        <w:t>ecchymotique</w:t>
      </w:r>
    </w:p>
    <w:p>
      <w:pPr>
        <w:numPr>
          <w:ilvl w:val="1"/>
          <w:numId w:val="15"/>
        </w:numPr>
      </w:pPr>
      <w:r>
        <w:rPr/>
        <w:t>Tuméfaction inflammatoire : visage, avant-bras et jambes</w:t>
      </w:r>
    </w:p>
    <w:p>
      <w:pPr>
        <w:numPr>
          <w:ilvl w:val="1"/>
          <w:numId w:val="15"/>
        </w:numPr>
      </w:pPr>
      <w:r>
        <w:rPr/>
        <w:t>Sans atteinte rénale</w:t>
      </w:r>
    </w:p>
    <w:p>
      <w:pPr>
        <w:numPr>
          <w:ilvl w:val="1"/>
          <w:numId w:val="15"/>
        </w:numPr>
      </w:pPr>
      <w:r>
        <w:rPr/>
        <w:t>Guérison sans séquelle en 1 à 3 semaines</w:t>
      </w:r>
      <w:r>
        <w:rPr/>
        <w:br/>
      </w:r>
    </w:p>
    <w:p>
      <w:pPr>
        <w:pStyle w:val="Heading4"/>
      </w:pPr>
      <w:r>
        <w:rPr/>
        <w:t>Forme atypique</w:t>
      </w:r>
    </w:p>
    <w:p>
      <w:pPr>
        <w:numPr>
          <w:ilvl w:val="1"/>
          <w:numId w:val="15"/>
        </w:numPr>
      </w:pPr>
      <w:r>
        <w:rPr/>
        <w:t>Absence de purpura</w:t>
      </w:r>
      <w:r>
        <w:rPr/>
        <w:br/>
      </w:r>
    </w:p>
    <w:p>
      <w:pPr>
        <w:pStyle w:val="Heading4"/>
      </w:pPr>
      <w:r>
        <w:rPr/>
        <w:t xml:space="preserve">Formes </w:t>
      </w:r>
      <w:r>
        <w:rPr/>
        <w:t>compliquées :</w:t>
      </w:r>
    </w:p>
    <w:p>
      <w:pPr>
        <w:pStyle w:val="Heading5"/>
      </w:pPr>
      <w:r>
        <w:rPr/>
        <w:t>Complications rénales :</w:t>
      </w:r>
    </w:p>
    <w:p>
      <w:pPr>
        <w:numPr>
          <w:ilvl w:val="2"/>
          <w:numId w:val="15"/>
        </w:numPr>
      </w:pPr>
      <w:r>
        <w:rPr/>
        <w:t>Hématurie microscopique isolée ou avec protéinurie</w:t>
      </w:r>
    </w:p>
    <w:p>
      <w:pPr>
        <w:numPr>
          <w:ilvl w:val="2"/>
          <w:numId w:val="15"/>
        </w:numPr>
      </w:pPr>
      <w:r>
        <w:rPr>
          <w:b/>
        </w:rPr>
        <w:t>Glomérulonéphrite rapidement progressive avec insuffisance rénale évoluant vers une insuffisance rénale chronique</w:t>
      </w:r>
    </w:p>
    <w:p>
      <w:pPr>
        <w:numPr>
          <w:ilvl w:val="2"/>
          <w:numId w:val="15"/>
        </w:numPr>
      </w:pPr>
      <w:r>
        <w:rPr/>
        <w:t xml:space="preserve">Biopsie </w:t>
      </w:r>
      <w:r>
        <w:rPr/>
        <w:t>rénale</w:t>
      </w:r>
      <w:r>
        <w:rPr>
          <w:i/>
        </w:rPr>
        <w:t xml:space="preserve"> (</w:t>
      </w:r>
      <w:r>
        <w:rPr>
          <w:i/>
        </w:rPr>
        <w:t>examen microscopique avec immunofluorescence</w:t>
      </w:r>
      <w:r>
        <w:rPr>
          <w:i/>
        </w:rPr>
        <w:t>)</w:t>
      </w:r>
      <w:r>
        <w:rPr/>
        <w:t>:</w:t>
      </w:r>
      <w:r>
        <w:rPr/>
        <w:t xml:space="preserve"> dépôts mésangiaux </w:t>
      </w:r>
      <w:r>
        <w:rPr/>
        <w:t>d’IgA</w:t>
      </w:r>
      <w:r>
        <w:rPr/>
        <w:t>, parfois IgM, IgG ou C3</w:t>
      </w:r>
      <w:r>
        <w:rPr/>
        <w:br/>
      </w:r>
    </w:p>
    <w:p>
      <w:pPr>
        <w:pStyle w:val="Heading5"/>
      </w:pPr>
      <w:r>
        <w:rPr/>
        <w:t xml:space="preserve">Complications </w:t>
      </w:r>
      <w:r>
        <w:rPr/>
        <w:t>digestives :</w:t>
      </w:r>
    </w:p>
    <w:p>
      <w:pPr>
        <w:numPr>
          <w:ilvl w:val="2"/>
          <w:numId w:val="15"/>
        </w:numPr>
      </w:pPr>
      <w:r>
        <w:rPr/>
        <w:t>Hémorragies digestives</w:t>
      </w:r>
    </w:p>
    <w:p>
      <w:pPr>
        <w:numPr>
          <w:ilvl w:val="2"/>
          <w:numId w:val="15"/>
        </w:numPr>
      </w:pPr>
      <w:r>
        <w:rPr/>
        <w:t>Invagination intestinale aiguë</w:t>
      </w:r>
    </w:p>
    <w:p>
      <w:pPr>
        <w:numPr>
          <w:ilvl w:val="2"/>
          <w:numId w:val="15"/>
        </w:numPr>
      </w:pPr>
      <w:r>
        <w:rPr/>
        <w:t>Occlusion intestinale secondaire à un hématome</w:t>
      </w:r>
    </w:p>
    <w:p>
      <w:pPr>
        <w:numPr>
          <w:ilvl w:val="2"/>
          <w:numId w:val="15"/>
        </w:numPr>
      </w:pPr>
      <w:r>
        <w:rPr/>
        <w:t>Perforation</w:t>
      </w:r>
      <w:r>
        <w:rPr/>
        <w:br/>
      </w:r>
    </w:p>
    <w:p>
      <w:pPr>
        <w:pStyle w:val="Heading5"/>
      </w:pPr>
      <w:r>
        <w:rPr/>
        <w:t>Autres complications : plus rares</w:t>
      </w:r>
    </w:p>
    <w:p>
      <w:pPr>
        <w:numPr>
          <w:ilvl w:val="2"/>
          <w:numId w:val="15"/>
        </w:numPr>
      </w:pPr>
      <w:r>
        <w:rPr>
          <w:b/>
        </w:rPr>
        <w:t>Testiculaire</w:t>
      </w:r>
      <w:r>
        <w:rPr/>
        <w:t xml:space="preserve"> : </w:t>
      </w:r>
    </w:p>
    <w:p>
      <w:pPr>
        <w:numPr>
          <w:ilvl w:val="3"/>
          <w:numId w:val="15"/>
        </w:numPr>
      </w:pPr>
      <w:r>
        <w:rPr/>
        <w:t>Orchite</w:t>
      </w:r>
      <w:r>
        <w:rPr/>
        <w:br/>
      </w:r>
    </w:p>
    <w:p>
      <w:pPr>
        <w:numPr>
          <w:ilvl w:val="2"/>
          <w:numId w:val="15"/>
        </w:numPr>
      </w:pPr>
      <w:r>
        <w:rPr>
          <w:b/>
        </w:rPr>
        <w:t xml:space="preserve">Neurologique : </w:t>
      </w:r>
    </w:p>
    <w:p>
      <w:pPr>
        <w:numPr>
          <w:ilvl w:val="3"/>
          <w:numId w:val="15"/>
        </w:numPr>
      </w:pPr>
      <w:r>
        <w:rPr/>
        <w:t>Troubles de la conscience</w:t>
      </w:r>
    </w:p>
    <w:p>
      <w:pPr>
        <w:numPr>
          <w:ilvl w:val="3"/>
          <w:numId w:val="15"/>
        </w:numPr>
      </w:pPr>
      <w:r>
        <w:rPr/>
        <w:t>Céphalée</w:t>
      </w:r>
    </w:p>
    <w:p>
      <w:pPr>
        <w:numPr>
          <w:ilvl w:val="3"/>
          <w:numId w:val="15"/>
        </w:numPr>
      </w:pPr>
      <w:r>
        <w:rPr/>
        <w:t>Paralysie faciale</w:t>
      </w:r>
    </w:p>
    <w:p>
      <w:pPr>
        <w:numPr>
          <w:ilvl w:val="3"/>
          <w:numId w:val="15"/>
        </w:numPr>
      </w:pPr>
      <w:r>
        <w:rPr/>
        <w:t>Hémorragie méningée</w:t>
      </w:r>
      <w:r>
        <w:rPr/>
        <w:br/>
      </w:r>
    </w:p>
    <w:p>
      <w:pPr>
        <w:numPr>
          <w:ilvl w:val="2"/>
          <w:numId w:val="15"/>
        </w:numPr>
      </w:pPr>
      <w:r>
        <w:rPr>
          <w:b/>
        </w:rPr>
        <w:t>Cardiaque</w:t>
      </w:r>
      <w:r>
        <w:rPr/>
        <w:t xml:space="preserve"> :</w:t>
      </w:r>
    </w:p>
    <w:p>
      <w:pPr>
        <w:numPr>
          <w:ilvl w:val="3"/>
          <w:numId w:val="15"/>
        </w:numPr>
      </w:pPr>
      <w:r>
        <w:rPr/>
        <w:t>Myocardite</w:t>
      </w:r>
    </w:p>
    <w:p>
      <w:pPr>
        <w:numPr>
          <w:ilvl w:val="3"/>
          <w:numId w:val="15"/>
        </w:numPr>
      </w:pPr>
      <w:r>
        <w:rPr/>
        <w:t>Péricardite</w:t>
      </w:r>
      <w:r>
        <w:rPr/>
        <w:br/>
      </w:r>
    </w:p>
    <w:p>
      <w:pPr>
        <w:numPr>
          <w:ilvl w:val="2"/>
          <w:numId w:val="15"/>
        </w:numPr>
      </w:pPr>
      <w:r>
        <w:rPr>
          <w:b/>
        </w:rPr>
        <w:t>Pulmonaire :</w:t>
      </w:r>
    </w:p>
    <w:p>
      <w:pPr>
        <w:numPr>
          <w:ilvl w:val="3"/>
          <w:numId w:val="15"/>
        </w:numPr>
      </w:pPr>
      <w:r>
        <w:rPr/>
        <w:t xml:space="preserve">Pleurésie </w:t>
      </w:r>
    </w:p>
    <w:p>
      <w:pPr/>
    </w:p>
    <w:p>
      <w:pPr>
        <w:pStyle w:val="Heading2"/>
      </w:pPr>
      <w:r>
        <w:rPr/>
        <w:t>DIAGNOSTIC DIFFERENTIEL</w:t>
      </w:r>
    </w:p>
    <w:p>
      <w:pPr>
        <w:numPr>
          <w:ilvl w:val="0"/>
          <w:numId w:val="16"/>
        </w:numPr>
      </w:pPr>
      <w:r>
        <w:rPr>
          <w:b/>
        </w:rPr>
        <w:t xml:space="preserve">Purpura thrombopénique : </w:t>
      </w:r>
      <w:r>
        <w:rPr/>
        <w:t>NFS :</w:t>
      </w:r>
      <w:r>
        <w:rPr/>
        <w:t xml:space="preserve"> taux de plaquette bas</w:t>
      </w:r>
    </w:p>
    <w:p>
      <w:pPr>
        <w:numPr>
          <w:ilvl w:val="0"/>
          <w:numId w:val="16"/>
        </w:numPr>
      </w:pPr>
      <w:r>
        <w:rPr>
          <w:b/>
        </w:rPr>
        <w:t xml:space="preserve">Purpura </w:t>
      </w:r>
      <w:r>
        <w:rPr>
          <w:b/>
        </w:rPr>
        <w:t>fulminans</w:t>
      </w:r>
      <w:r>
        <w:rPr>
          <w:b/>
        </w:rPr>
        <w:t xml:space="preserve"> : </w:t>
      </w:r>
      <w:r>
        <w:rPr/>
        <w:t>infection sévère à Méningocoque : fièvre, AEG. Confirmation : biologique (</w:t>
      </w:r>
      <w:r>
        <w:rPr>
          <w:i/>
        </w:rPr>
        <w:t>syndrome inflammatoire, hémoculture : méningocoque)</w:t>
      </w:r>
    </w:p>
    <w:p>
      <w:pPr>
        <w:numPr>
          <w:ilvl w:val="0"/>
          <w:numId w:val="16"/>
        </w:numPr>
      </w:pPr>
      <w:r>
        <w:rPr>
          <w:b/>
        </w:rPr>
        <w:t xml:space="preserve">Urgences chirurgicales : </w:t>
      </w:r>
      <w:r>
        <w:rPr/>
        <w:t>abdominales ou testiculaires</w:t>
      </w:r>
    </w:p>
    <w:p>
      <w:pPr>
        <w:numPr>
          <w:ilvl w:val="1"/>
          <w:numId w:val="16"/>
        </w:numPr>
      </w:pPr>
      <w:r>
        <w:rPr/>
        <w:t xml:space="preserve">Échographie abdominale et </w:t>
      </w:r>
      <w:r>
        <w:rPr/>
        <w:t>testiculaire (</w:t>
      </w:r>
      <w:r>
        <w:rPr/>
        <w:t>(</w:t>
      </w:r>
      <w:r>
        <w:rPr>
          <w:i/>
        </w:rPr>
        <w:t>torsion testiculaire)</w:t>
      </w:r>
    </w:p>
    <w:p>
      <w:pPr>
        <w:numPr>
          <w:ilvl w:val="0"/>
          <w:numId w:val="16"/>
        </w:numPr>
      </w:pPr>
      <w:r>
        <w:rPr>
          <w:b/>
        </w:rPr>
        <w:t xml:space="preserve">Rhumatisme articulaire aigu : </w:t>
      </w:r>
      <w:r>
        <w:rPr/>
        <w:t xml:space="preserve">syndrome inflammatoire </w:t>
      </w:r>
      <w:r>
        <w:rPr/>
        <w:t>biologique (</w:t>
      </w:r>
      <w:r>
        <w:rPr>
          <w:i/>
        </w:rPr>
        <w:t xml:space="preserve">douleur articulaire migratrice, inflammatoire, touchant les grosses </w:t>
      </w:r>
      <w:r>
        <w:rPr>
          <w:i/>
        </w:rPr>
        <w:t>articulations)</w:t>
      </w:r>
    </w:p>
    <w:p>
      <w:pPr>
        <w:numPr>
          <w:ilvl w:val="0"/>
          <w:numId w:val="16"/>
        </w:numPr>
      </w:pPr>
      <w:r>
        <w:rPr>
          <w:b/>
          <w:i/>
        </w:rPr>
        <w:t>Arthrite juvénile idiopathique (chronique)</w:t>
      </w:r>
    </w:p>
    <w:p>
      <w:pPr/>
    </w:p>
    <w:p>
      <w:pPr>
        <w:pStyle w:val="Heading2"/>
      </w:pPr>
      <w:r>
        <w:rPr/>
        <w:t>DIAGNOSTIC ETIOLOGIQUE</w:t>
      </w:r>
    </w:p>
    <w:p>
      <w:pPr>
        <w:numPr>
          <w:ilvl w:val="0"/>
          <w:numId w:val="17"/>
        </w:numPr>
      </w:pPr>
      <w:r>
        <w:rPr/>
        <w:t>Étiologie inconnue</w:t>
      </w:r>
    </w:p>
    <w:p>
      <w:pPr>
        <w:numPr>
          <w:ilvl w:val="0"/>
          <w:numId w:val="17"/>
        </w:numPr>
      </w:pPr>
      <w:r>
        <w:rPr/>
        <w:t>Facteurs favorisants : infections</w:t>
      </w:r>
    </w:p>
    <w:p>
      <w:pPr>
        <w:numPr>
          <w:ilvl w:val="0"/>
          <w:numId w:val="17"/>
        </w:numPr>
      </w:pPr>
      <w:r>
        <w:rPr/>
        <w:t xml:space="preserve">Virus : </w:t>
      </w:r>
      <w:r>
        <w:rPr/>
        <w:t>EBV,</w:t>
      </w:r>
      <w:r>
        <w:rPr/>
        <w:t xml:space="preserve"> PV19, virus de la varicelle</w:t>
      </w:r>
    </w:p>
    <w:p>
      <w:pPr>
        <w:numPr>
          <w:ilvl w:val="0"/>
          <w:numId w:val="17"/>
        </w:numPr>
      </w:pPr>
      <w:r>
        <w:rPr/>
        <w:t xml:space="preserve">Bactéries : SBHA, Campylobacter </w:t>
      </w:r>
      <w:r>
        <w:rPr/>
        <w:t>jéjuni</w:t>
      </w:r>
      <w:r>
        <w:rPr/>
        <w:t xml:space="preserve">, </w:t>
      </w:r>
      <w:r>
        <w:rPr>
          <w:i/>
        </w:rPr>
        <w:t xml:space="preserve">Mycoplasma </w:t>
      </w:r>
      <w:r>
        <w:rPr>
          <w:i/>
        </w:rPr>
        <w:t>pneumoniae</w:t>
      </w:r>
    </w:p>
    <w:p>
      <w:pPr/>
    </w:p>
    <w:p>
      <w:pPr>
        <w:pStyle w:val="Heading2"/>
      </w:pPr>
      <w:r>
        <w:rPr/>
        <w:t>PRINCIPES DU TRAITEMENT</w:t>
      </w:r>
    </w:p>
    <w:p>
      <w:pPr>
        <w:numPr>
          <w:ilvl w:val="0"/>
          <w:numId w:val="18"/>
        </w:numPr>
      </w:pPr>
      <w:r>
        <w:rPr/>
        <w:t>Absence de traitement spécifique</w:t>
      </w:r>
    </w:p>
    <w:p>
      <w:pPr>
        <w:numPr>
          <w:ilvl w:val="0"/>
          <w:numId w:val="18"/>
        </w:numPr>
      </w:pPr>
      <w:r>
        <w:rPr/>
        <w:t>Hospitalisation si enfant très douloureux, ou présence de complications</w:t>
      </w:r>
    </w:p>
    <w:p>
      <w:pPr>
        <w:numPr>
          <w:ilvl w:val="0"/>
          <w:numId w:val="18"/>
        </w:numPr>
      </w:pPr>
      <w:r>
        <w:rPr/>
        <w:t xml:space="preserve">Traitement </w:t>
      </w:r>
      <w:r>
        <w:rPr/>
        <w:t>symptomatique</w:t>
      </w:r>
      <w:r>
        <w:rPr/>
        <w:t xml:space="preserve"> +++</w:t>
      </w:r>
    </w:p>
    <w:p>
      <w:pPr>
        <w:numPr>
          <w:ilvl w:val="1"/>
          <w:numId w:val="18"/>
        </w:numPr>
      </w:pPr>
      <w:r>
        <w:rPr/>
        <w:t>Repos au lit : jusqu’à la disparition des lésions cutanées</w:t>
      </w:r>
    </w:p>
    <w:p>
      <w:pPr>
        <w:numPr>
          <w:ilvl w:val="1"/>
          <w:numId w:val="18"/>
        </w:numPr>
      </w:pPr>
      <w:r>
        <w:rPr/>
        <w:t>Antalgiques ou antispasmodiques</w:t>
      </w:r>
    </w:p>
    <w:p>
      <w:pPr>
        <w:numPr>
          <w:ilvl w:val="0"/>
          <w:numId w:val="18"/>
        </w:numPr>
      </w:pPr>
      <w:r>
        <w:rPr/>
        <w:t>Traitement d’une éventuelle infection associée, des complications</w:t>
      </w:r>
    </w:p>
    <w:p>
      <w:pPr>
        <w:numPr>
          <w:ilvl w:val="0"/>
          <w:numId w:val="18"/>
        </w:numPr>
      </w:pPr>
      <w:r>
        <w:rPr/>
        <w:t xml:space="preserve">Indication de la corticothérapie(2mg/kg/j) </w:t>
      </w:r>
      <w:r>
        <w:rPr>
          <w:b/>
          <w:u w:val="single"/>
        </w:rPr>
        <w:t>si</w:t>
      </w:r>
      <w:r>
        <w:rPr/>
        <w:t xml:space="preserve"> :</w:t>
      </w:r>
    </w:p>
    <w:p>
      <w:pPr>
        <w:numPr>
          <w:ilvl w:val="1"/>
          <w:numId w:val="18"/>
        </w:numPr>
      </w:pPr>
      <w:r>
        <w:rPr/>
        <w:t>Atteinte testiculaire</w:t>
      </w:r>
    </w:p>
    <w:p>
      <w:pPr>
        <w:numPr>
          <w:ilvl w:val="1"/>
          <w:numId w:val="18"/>
        </w:numPr>
      </w:pPr>
      <w:r>
        <w:rPr/>
        <w:t>Manifestation abdominale sévère</w:t>
      </w:r>
    </w:p>
    <w:p>
      <w:pPr>
        <w:numPr>
          <w:ilvl w:val="1"/>
          <w:numId w:val="18"/>
        </w:numPr>
      </w:pPr>
      <w:r>
        <w:rPr/>
        <w:t>Atteinte rénale (</w:t>
      </w:r>
      <w:r>
        <w:rPr>
          <w:i/>
        </w:rPr>
        <w:t>complication)</w:t>
      </w:r>
    </w:p>
    <w:p>
      <w:pPr>
        <w:numPr>
          <w:ilvl w:val="0"/>
          <w:numId w:val="18"/>
        </w:numPr>
      </w:pPr>
      <w:r>
        <w:rPr/>
        <w:t xml:space="preserve">Surveillance+++ : </w:t>
      </w:r>
      <w:r>
        <w:rPr>
          <w:i/>
        </w:rPr>
        <w:t>des signes cliniques</w:t>
      </w:r>
    </w:p>
    <w:p>
      <w:pPr>
        <w:numPr>
          <w:ilvl w:val="1"/>
          <w:numId w:val="18"/>
        </w:numPr>
      </w:pPr>
      <w:r>
        <w:rPr/>
        <w:t>Atteinte rénale</w:t>
      </w:r>
    </w:p>
    <w:p>
      <w:pPr>
        <w:numPr>
          <w:ilvl w:val="2"/>
          <w:numId w:val="18"/>
        </w:numPr>
      </w:pPr>
      <w:r>
        <w:rPr>
          <w:b/>
        </w:rPr>
        <w:t>Bandelette urinaire : recherche d’une hématurie et d’une protéinurie (QE)</w:t>
      </w:r>
    </w:p>
    <w:p>
      <w:pPr>
        <w:numPr>
          <w:ilvl w:val="3"/>
          <w:numId w:val="18"/>
        </w:numPr>
      </w:pPr>
      <w:r>
        <w:rPr>
          <w:b/>
        </w:rPr>
        <w:t>2 fois par semaine pendant 3 mois</w:t>
      </w:r>
    </w:p>
    <w:p>
      <w:pPr>
        <w:numPr>
          <w:ilvl w:val="3"/>
          <w:numId w:val="18"/>
        </w:numPr>
      </w:pPr>
      <w:r>
        <w:rPr>
          <w:b/>
        </w:rPr>
        <w:t>Puis 1 fois tous les 15 jours pendant 3 mois</w:t>
      </w:r>
    </w:p>
    <w:p>
      <w:pPr>
        <w:numPr>
          <w:ilvl w:val="3"/>
          <w:numId w:val="18"/>
        </w:numPr>
      </w:pPr>
      <w:r>
        <w:rPr>
          <w:b/>
        </w:rPr>
        <w:t>Puis 1 fois par mois pendant 6 mois</w:t>
      </w:r>
    </w:p>
    <w:p>
      <w:pPr>
        <w:numPr>
          <w:ilvl w:val="3"/>
          <w:numId w:val="18"/>
        </w:numPr>
      </w:pPr>
      <w:r>
        <w:rPr>
          <w:b/>
        </w:rPr>
        <w:t xml:space="preserve">Puis tous les 3 mois pendant la 2ème année </w:t>
      </w:r>
    </w:p>
    <w:p>
      <w:pPr/>
    </w:p>
    <w:p>
      <w:pPr>
        <w:pStyle w:val="Heading2"/>
      </w:pPr>
      <w:r>
        <w:rPr/>
        <w:t>EVOLUTION</w:t>
      </w:r>
    </w:p>
    <w:p>
      <w:pPr>
        <w:numPr>
          <w:ilvl w:val="0"/>
          <w:numId w:val="19"/>
        </w:numPr>
      </w:pPr>
      <w:r>
        <w:rPr/>
        <w:t>Favorable</w:t>
      </w:r>
    </w:p>
    <w:p>
      <w:pPr>
        <w:numPr>
          <w:ilvl w:val="1"/>
          <w:numId w:val="19"/>
        </w:numPr>
      </w:pPr>
      <w:r>
        <w:rPr/>
        <w:t>Pronostic habituellement bon</w:t>
      </w:r>
    </w:p>
    <w:p>
      <w:pPr>
        <w:numPr>
          <w:ilvl w:val="1"/>
          <w:numId w:val="19"/>
        </w:numPr>
      </w:pPr>
      <w:r>
        <w:rPr/>
        <w:t>Durée des poussées : 4 à 8 semaines</w:t>
      </w:r>
    </w:p>
    <w:p>
      <w:pPr>
        <w:numPr>
          <w:ilvl w:val="0"/>
          <w:numId w:val="19"/>
        </w:numPr>
      </w:pPr>
      <w:r>
        <w:rPr/>
        <w:t>Récidives fréquentes</w:t>
      </w:r>
    </w:p>
    <w:p>
      <w:pPr>
        <w:numPr>
          <w:ilvl w:val="1"/>
          <w:numId w:val="19"/>
        </w:numPr>
      </w:pPr>
      <w:r>
        <w:rPr/>
        <w:t>Dans les 6 à 12 semaines suivant l’épisode initial</w:t>
      </w:r>
    </w:p>
    <w:p>
      <w:pPr>
        <w:numPr>
          <w:ilvl w:val="0"/>
          <w:numId w:val="19"/>
        </w:numPr>
      </w:pPr>
      <w:r>
        <w:rPr/>
        <w:t xml:space="preserve">Complications </w:t>
      </w:r>
      <w:r>
        <w:rPr>
          <w:i/>
        </w:rPr>
        <w:t>possibles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20"/>
        </w:numPr>
      </w:pPr>
      <w:r>
        <w:rPr/>
        <w:t>Purpura rhumatoïde : affection bénigne</w:t>
      </w:r>
    </w:p>
    <w:p>
      <w:pPr>
        <w:numPr>
          <w:ilvl w:val="0"/>
          <w:numId w:val="20"/>
        </w:numPr>
      </w:pPr>
      <w:r>
        <w:rPr/>
        <w:t xml:space="preserve">Diagnostic essentiellement clinique : triade </w:t>
      </w:r>
      <w:r>
        <w:rPr>
          <w:b/>
        </w:rPr>
        <w:t>purpura, douleur abdominale et arthralgie</w:t>
      </w:r>
    </w:p>
    <w:p>
      <w:pPr>
        <w:numPr>
          <w:ilvl w:val="0"/>
          <w:numId w:val="20"/>
        </w:numPr>
      </w:pPr>
      <w:r>
        <w:rPr/>
        <w:t xml:space="preserve">Traitement </w:t>
      </w:r>
      <w:r>
        <w:rPr/>
        <w:t>symptomatique</w:t>
      </w:r>
    </w:p>
    <w:p>
      <w:pPr>
        <w:numPr>
          <w:ilvl w:val="0"/>
          <w:numId w:val="20"/>
        </w:numPr>
      </w:pPr>
      <w:r>
        <w:rPr/>
        <w:t>Pronostic habituellement bon</w:t>
      </w:r>
    </w:p>
    <w:p>
      <w:pPr>
        <w:numPr>
          <w:ilvl w:val="0"/>
          <w:numId w:val="20"/>
        </w:numPr>
      </w:pPr>
      <w:r>
        <w:rPr/>
        <w:t>Gravité liée aux complications : rénales+++</w:t>
      </w:r>
    </w:p>
    <w:p>
      <w:pPr>
        <w:numPr>
          <w:ilvl w:val="0"/>
          <w:numId w:val="20"/>
        </w:numPr>
      </w:pPr>
      <w:r>
        <w:rPr/>
        <w:t xml:space="preserve">Intérêt de la surveillance après la première poussée 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