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RACHITISME CARENTIEL DE L’ENFANT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15"/>
        </w:numPr>
      </w:pPr>
      <w:r>
        <w:rPr/>
        <w:t>Décrire la physiopathologie</w:t>
      </w:r>
    </w:p>
    <w:p>
      <w:pPr>
        <w:numPr>
          <w:ilvl w:val="0"/>
          <w:numId w:val="15"/>
        </w:numPr>
      </w:pPr>
      <w:r>
        <w:rPr/>
        <w:t>Citer les signes cliniques</w:t>
      </w:r>
    </w:p>
    <w:p>
      <w:pPr>
        <w:numPr>
          <w:ilvl w:val="0"/>
          <w:numId w:val="15"/>
        </w:numPr>
      </w:pPr>
      <w:r>
        <w:rPr/>
        <w:t>Énumérer les principes du traitement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17"/>
        </w:numPr>
      </w:pPr>
      <w:r>
        <w:rPr/>
        <w:t>= trouble de la minéralisation du squelette en croissance</w:t>
      </w:r>
    </w:p>
    <w:p>
      <w:pPr>
        <w:numPr>
          <w:ilvl w:val="0"/>
          <w:numId w:val="17"/>
        </w:numPr>
      </w:pPr>
      <w:r>
        <w:rPr/>
        <w:t>Dû à une carence en vitamine D</w:t>
      </w:r>
    </w:p>
    <w:p>
      <w:pPr>
        <w:numPr>
          <w:ilvl w:val="0"/>
          <w:numId w:val="17"/>
        </w:numPr>
      </w:pPr>
      <w:r>
        <w:rPr/>
        <w:t>Âge de prédilection : 6-18 mois</w:t>
      </w:r>
    </w:p>
    <w:p>
      <w:pPr>
        <w:numPr>
          <w:ilvl w:val="0"/>
          <w:numId w:val="17"/>
        </w:numPr>
      </w:pPr>
      <w:r>
        <w:rPr/>
        <w:t>Apports en vitamine D (vitamine liposoluble)</w:t>
      </w:r>
    </w:p>
    <w:p>
      <w:pPr>
        <w:numPr>
          <w:ilvl w:val="1"/>
          <w:numId w:val="17"/>
        </w:numPr>
      </w:pPr>
      <w:r>
        <w:rPr/>
        <w:t>Exogène : alimentation</w:t>
      </w:r>
    </w:p>
    <w:p>
      <w:pPr>
        <w:numPr>
          <w:ilvl w:val="2"/>
          <w:numId w:val="17"/>
        </w:numPr>
      </w:pPr>
      <w:r>
        <w:rPr/>
        <w:t>Absorbée par le duodénum et jéjunum</w:t>
      </w:r>
    </w:p>
    <w:p>
      <w:pPr>
        <w:numPr>
          <w:ilvl w:val="1"/>
          <w:numId w:val="17"/>
        </w:numPr>
      </w:pPr>
      <w:r>
        <w:rPr/>
        <w:t>Endogène : photosynthèse cutanée</w:t>
      </w:r>
    </w:p>
    <w:p>
      <w:pPr>
        <w:numPr>
          <w:ilvl w:val="0"/>
          <w:numId w:val="17"/>
        </w:numPr>
      </w:pPr>
      <w:r>
        <w:rPr/>
        <w:t>Action de la vitamine D :</w:t>
      </w:r>
    </w:p>
    <w:p>
      <w:pPr>
        <w:numPr>
          <w:ilvl w:val="1"/>
          <w:numId w:val="17"/>
        </w:numPr>
      </w:pPr>
      <w:r>
        <w:rPr/>
        <w:t>Absorption du Calcium</w:t>
      </w:r>
    </w:p>
    <w:p>
      <w:pPr>
        <w:numPr>
          <w:ilvl w:val="1"/>
          <w:numId w:val="17"/>
        </w:numPr>
      </w:pPr>
      <w:r>
        <w:rPr/>
        <w:t>Fixation du Calcium sur la trame protéique</w:t>
      </w:r>
    </w:p>
    <w:p>
      <w:pPr>
        <w:numPr>
          <w:ilvl w:val="1"/>
          <w:numId w:val="17"/>
        </w:numPr>
      </w:pPr>
      <w:r>
        <w:rPr/>
        <w:t>Stimulation du remodelage osseux</w:t>
      </w:r>
    </w:p>
    <w:p>
      <w:pPr>
        <w:pStyle w:val="Heading3"/>
      </w:pPr>
      <w:r>
        <w:rPr/>
        <w:t>Physiopathologie</w:t>
      </w:r>
    </w:p>
    <w:p>
      <w:pPr/>
      <w:r>
        <w:drawing>
          <wp:inline xmlns:a="http://schemas.openxmlformats.org/drawingml/2006/main" xmlns:pic="http://schemas.openxmlformats.org/drawingml/2006/picture">
            <wp:extent cx="16002000" cy="902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0" cy="90297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>
      <w:pPr>
        <w:pStyle w:val="Heading2"/>
        <w:numPr>
          <w:ilvl w:val="0"/>
          <w:numId w:val="105"/>
        </w:numPr>
      </w:pPr>
      <w:r>
        <w:rPr/>
        <w:t>DIAGNOSTIC POSITIF</w:t>
      </w:r>
    </w:p>
    <w:p>
      <w:pPr>
        <w:pStyle w:val="Heading3"/>
        <w:numPr>
          <w:ilvl w:val="0"/>
          <w:numId w:val="107"/>
        </w:numPr>
      </w:pPr>
      <w:r>
        <w:rPr/>
        <w:t>Type de description : forme typique du Nourrisson</w:t>
      </w:r>
    </w:p>
    <w:p>
      <w:pPr/>
      <w:r>
        <w:rPr/>
        <w:t>Age : 6 - 18 mois</w:t>
      </w:r>
    </w:p>
    <w:p>
      <w:pPr/>
      <w:r>
        <w:rPr/>
        <w:t>Suspecté devant la notion de :</w:t>
      </w:r>
    </w:p>
    <w:p>
      <w:pPr>
        <w:numPr>
          <w:ilvl w:val="0"/>
          <w:numId w:val="11"/>
        </w:numPr>
      </w:pPr>
      <w:r>
        <w:rPr/>
        <w:t xml:space="preserve">Insuffisance d’ensoleillement, </w:t>
      </w:r>
      <w:r>
        <w:rPr/>
        <w:t>peau pigmentée</w:t>
      </w:r>
    </w:p>
    <w:p>
      <w:pPr>
        <w:numPr>
          <w:ilvl w:val="0"/>
          <w:numId w:val="11"/>
        </w:numPr>
      </w:pPr>
      <w:r>
        <w:rPr/>
        <w:t>Absence de prise de vitamine D (carnet de santé)</w:t>
      </w:r>
    </w:p>
    <w:p>
      <w:pPr/>
    </w:p>
    <w:p>
      <w:pPr>
        <w:pStyle w:val="Heading4"/>
        <w:numPr>
          <w:ilvl w:val="0"/>
          <w:numId w:val="106"/>
        </w:numPr>
      </w:pPr>
      <w:r>
        <w:rPr/>
        <w:t>SIGNES CLINIQUES</w:t>
      </w:r>
    </w:p>
    <w:p>
      <w:pPr>
        <w:pStyle w:val="Heading5"/>
        <w:numPr>
          <w:ilvl w:val="0"/>
          <w:numId w:val="108"/>
        </w:numPr>
      </w:pPr>
      <w:r>
        <w:rPr/>
        <w:t>Crâne :</w:t>
      </w:r>
    </w:p>
    <w:p>
      <w:pPr>
        <w:numPr>
          <w:ilvl w:val="1"/>
          <w:numId w:val="12"/>
        </w:numPr>
      </w:pPr>
      <w:r>
        <w:rPr/>
        <w:t>Craniotabès</w:t>
      </w:r>
      <w:r>
        <w:rPr/>
        <w:t xml:space="preserve"> </w:t>
      </w:r>
      <w:r>
        <w:rPr/>
        <w:t>(surtout après 3 mois)</w:t>
      </w:r>
    </w:p>
    <w:p>
      <w:pPr>
        <w:numPr>
          <w:ilvl w:val="1"/>
          <w:numId w:val="12"/>
        </w:numPr>
      </w:pPr>
      <w:r>
        <w:rPr/>
        <w:t>Plagiocéphalie : aplatissement occipital ou pariétal (&lt; 1 an) et aspect de bombement frontal</w:t>
      </w:r>
    </w:p>
    <w:p>
      <w:pPr>
        <w:numPr>
          <w:ilvl w:val="1"/>
          <w:numId w:val="12"/>
        </w:numPr>
      </w:pPr>
      <w:r>
        <w:rPr>
          <w:b/>
        </w:rPr>
        <w:t>Retard de fermeture de la fontanelle antérieure (</w:t>
      </w:r>
      <w:r>
        <w:rPr>
          <w:b/>
          <w:i/>
        </w:rPr>
        <w:t>signe typique voire pathognomonique)</w:t>
      </w:r>
      <w:r>
        <w:rPr>
          <w:b/>
          <w:i/>
        </w:rPr>
        <w:br/>
      </w:r>
    </w:p>
    <w:p>
      <w:pPr>
        <w:pStyle w:val="Heading5"/>
        <w:numPr>
          <w:ilvl w:val="0"/>
          <w:numId w:val="108"/>
        </w:numPr>
      </w:pPr>
      <w:r>
        <w:rPr/>
        <w:t>THORAX</w:t>
      </w:r>
    </w:p>
    <w:p>
      <w:pPr>
        <w:numPr>
          <w:ilvl w:val="1"/>
          <w:numId w:val="12"/>
        </w:numPr>
      </w:pPr>
      <w:r>
        <w:rPr/>
        <w:t>Chapelet costal</w:t>
      </w:r>
    </w:p>
    <w:p>
      <w:pPr>
        <w:numPr>
          <w:ilvl w:val="1"/>
          <w:numId w:val="12"/>
        </w:numPr>
      </w:pPr>
      <w:r>
        <w:rPr/>
        <w:t>Aspect en carène</w:t>
      </w:r>
    </w:p>
    <w:p>
      <w:pPr>
        <w:numPr>
          <w:ilvl w:val="1"/>
          <w:numId w:val="12"/>
        </w:numPr>
      </w:pPr>
      <w:r>
        <w:rPr/>
        <w:t>Élargissement de la base thoracique</w:t>
      </w:r>
    </w:p>
    <w:p>
      <w:pPr>
        <w:numPr>
          <w:ilvl w:val="1"/>
          <w:numId w:val="12"/>
        </w:numPr>
      </w:pPr>
      <w:r>
        <w:rPr/>
        <w:t>Asymétrie thoracique</w:t>
      </w:r>
    </w:p>
    <w:p>
      <w:pPr/>
      <w:r>
        <w:drawing>
          <wp:inline xmlns:a="http://schemas.openxmlformats.org/drawingml/2006/main" xmlns:pic="http://schemas.openxmlformats.org/drawingml/2006/picture">
            <wp:extent cx="16052800" cy="12014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52800" cy="1201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5"/>
        <w:numPr>
          <w:ilvl w:val="0"/>
          <w:numId w:val="108"/>
        </w:numPr>
      </w:pPr>
      <w:r>
        <w:rPr/>
        <w:t>LESIONS DES MEMBRES</w:t>
      </w:r>
    </w:p>
    <w:p>
      <w:pPr>
        <w:numPr>
          <w:ilvl w:val="1"/>
          <w:numId w:val="12"/>
        </w:numPr>
      </w:pPr>
      <w:r>
        <w:rPr/>
        <w:t>Nouures épiphysaires (chevilles - poignets)</w:t>
      </w:r>
    </w:p>
    <w:p>
      <w:pPr>
        <w:numPr>
          <w:ilvl w:val="1"/>
          <w:numId w:val="12"/>
        </w:numPr>
      </w:pPr>
      <w:r>
        <w:rPr/>
        <w:t>Genu</w:t>
      </w:r>
      <w:r>
        <w:rPr/>
        <w:t xml:space="preserve"> varum (en cavalier)</w:t>
      </w:r>
    </w:p>
    <w:p>
      <w:pPr>
        <w:numPr>
          <w:ilvl w:val="1"/>
          <w:numId w:val="12"/>
        </w:numPr>
      </w:pPr>
      <w:r>
        <w:rPr/>
        <w:t>Fractures spontanées (</w:t>
      </w:r>
      <w:r>
        <w:rPr>
          <w:i/>
        </w:rPr>
        <w:t>voire multiple au niveau des os)</w:t>
      </w:r>
    </w:p>
    <w:p>
      <w:pPr/>
      <w:r>
        <w:drawing>
          <wp:inline xmlns:a="http://schemas.openxmlformats.org/drawingml/2006/main" xmlns:pic="http://schemas.openxmlformats.org/drawingml/2006/picture">
            <wp:extent cx="16065499" cy="12026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65499" cy="1202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5"/>
        <w:numPr>
          <w:ilvl w:val="0"/>
          <w:numId w:val="108"/>
        </w:numPr>
      </w:pPr>
      <w:r>
        <w:rPr/>
        <w:t xml:space="preserve">BASSIN - RACHIS </w:t>
      </w:r>
    </w:p>
    <w:p>
      <w:pPr>
        <w:numPr>
          <w:ilvl w:val="1"/>
          <w:numId w:val="12"/>
        </w:numPr>
      </w:pPr>
      <w:r>
        <w:rPr/>
        <w:t>Aplatissement du bassin</w:t>
      </w:r>
    </w:p>
    <w:p>
      <w:pPr>
        <w:numPr>
          <w:ilvl w:val="1"/>
          <w:numId w:val="12"/>
        </w:numPr>
      </w:pPr>
      <w:r>
        <w:rPr/>
        <w:t>Cyphose, scoliose</w:t>
      </w:r>
      <w:r>
        <w:rPr/>
        <w:br/>
      </w:r>
    </w:p>
    <w:p>
      <w:pPr>
        <w:pStyle w:val="Heading5"/>
        <w:numPr>
          <w:ilvl w:val="0"/>
          <w:numId w:val="108"/>
        </w:numPr>
      </w:pPr>
      <w:r>
        <w:rPr/>
        <w:t>ALTERATIONS DENTAIRES</w:t>
      </w:r>
    </w:p>
    <w:p>
      <w:pPr>
        <w:numPr>
          <w:ilvl w:val="1"/>
          <w:numId w:val="12"/>
        </w:numPr>
      </w:pPr>
      <w:r>
        <w:rPr/>
        <w:t>Retard d’apparition des dents</w:t>
      </w:r>
    </w:p>
    <w:p>
      <w:pPr>
        <w:numPr>
          <w:ilvl w:val="1"/>
          <w:numId w:val="12"/>
        </w:numPr>
      </w:pPr>
      <w:r>
        <w:rPr/>
        <w:t>Dents peu développées</w:t>
      </w:r>
    </w:p>
    <w:p>
      <w:pPr>
        <w:numPr>
          <w:ilvl w:val="1"/>
          <w:numId w:val="12"/>
        </w:numPr>
      </w:pPr>
      <w:r>
        <w:rPr/>
        <w:t>Hypoplasie de l’émail</w:t>
      </w:r>
    </w:p>
    <w:p>
      <w:pPr>
        <w:numPr>
          <w:ilvl w:val="1"/>
          <w:numId w:val="12"/>
        </w:numPr>
      </w:pPr>
      <w:r>
        <w:rPr/>
        <w:t xml:space="preserve">Caries </w:t>
      </w:r>
      <w:r>
        <w:rPr/>
        <w:br/>
      </w:r>
    </w:p>
    <w:p>
      <w:pPr>
        <w:pStyle w:val="Heading5"/>
        <w:numPr>
          <w:ilvl w:val="0"/>
          <w:numId w:val="108"/>
        </w:numPr>
      </w:pPr>
      <w:r>
        <w:rPr/>
        <w:t>DEFICIT MUSCULO-LIGAMENTAIRE</w:t>
      </w:r>
    </w:p>
    <w:p>
      <w:pPr>
        <w:numPr>
          <w:ilvl w:val="1"/>
          <w:numId w:val="12"/>
        </w:numPr>
      </w:pPr>
      <w:r>
        <w:rPr/>
        <w:t>Hypotonie musculaire</w:t>
      </w:r>
    </w:p>
    <w:p>
      <w:pPr>
        <w:numPr>
          <w:ilvl w:val="1"/>
          <w:numId w:val="12"/>
        </w:numPr>
      </w:pPr>
      <w:r>
        <w:rPr/>
        <w:t>Hyperlaxité ligamentaire</w:t>
      </w:r>
      <w:r>
        <w:rPr/>
        <w:br/>
      </w:r>
    </w:p>
    <w:p>
      <w:pPr>
        <w:pStyle w:val="Heading5"/>
        <w:numPr>
          <w:ilvl w:val="0"/>
          <w:numId w:val="108"/>
        </w:numPr>
      </w:pPr>
      <w:r>
        <w:rPr/>
        <w:t>AUTRES SIGNES</w:t>
      </w:r>
    </w:p>
    <w:p>
      <w:pPr>
        <w:numPr>
          <w:ilvl w:val="1"/>
          <w:numId w:val="12"/>
        </w:numPr>
      </w:pPr>
      <w:r>
        <w:rPr/>
        <w:t>Retard staturo-pondéral</w:t>
      </w:r>
    </w:p>
    <w:p>
      <w:pPr>
        <w:numPr>
          <w:ilvl w:val="1"/>
          <w:numId w:val="12"/>
        </w:numPr>
      </w:pPr>
      <w:r>
        <w:rPr/>
        <w:t>Infection ORL et broncho-pulmonaire chronique (poumon rachitique) (</w:t>
      </w:r>
      <w:r>
        <w:rPr>
          <w:i/>
        </w:rPr>
        <w:t>thorax déformé -&gt; mauvaise ampliation thoracique -&gt; mauvais échange gazeux -&gt; infections respiratoires à répétition)</w:t>
      </w:r>
    </w:p>
    <w:p>
      <w:pPr/>
    </w:p>
    <w:p>
      <w:pPr>
        <w:pStyle w:val="Heading4"/>
        <w:numPr>
          <w:ilvl w:val="0"/>
          <w:numId w:val="106"/>
        </w:numPr>
      </w:pPr>
      <w:r>
        <w:rPr/>
        <w:t>SIGNES RADIOLOGIQUES</w:t>
      </w:r>
    </w:p>
    <w:p>
      <w:pPr>
        <w:numPr>
          <w:ilvl w:val="0"/>
          <w:numId w:val="13"/>
        </w:numPr>
      </w:pPr>
      <w:r>
        <w:rPr/>
        <w:t>Précoces</w:t>
      </w:r>
    </w:p>
    <w:p>
      <w:pPr>
        <w:numPr>
          <w:ilvl w:val="0"/>
          <w:numId w:val="13"/>
        </w:numPr>
      </w:pPr>
      <w:r>
        <w:rPr/>
        <w:t>Précédent les signes cliniques</w:t>
      </w:r>
      <w:r>
        <w:rPr/>
        <w:br/>
      </w:r>
    </w:p>
    <w:p>
      <w:pPr>
        <w:pStyle w:val="Heading5"/>
        <w:numPr>
          <w:ilvl w:val="0"/>
          <w:numId w:val="108"/>
        </w:numPr>
      </w:pPr>
      <w:r>
        <w:rPr/>
        <w:t>SIGNES METAPHYSAIRES</w:t>
      </w:r>
    </w:p>
    <w:p>
      <w:pPr>
        <w:numPr>
          <w:ilvl w:val="1"/>
          <w:numId w:val="13"/>
        </w:numPr>
      </w:pPr>
      <w:r>
        <w:rPr/>
        <w:t>Elargissement des bases métaphysaires avec aspect en cupule ou “toit de pagode”</w:t>
      </w:r>
    </w:p>
    <w:p>
      <w:pPr>
        <w:numPr>
          <w:ilvl w:val="1"/>
          <w:numId w:val="13"/>
        </w:numPr>
      </w:pPr>
      <w:r>
        <w:rPr/>
        <w:t>Elargissement des zones radio-transparentes (points d’ossification)</w:t>
      </w:r>
      <w:r>
        <w:rPr/>
        <w:br/>
      </w:r>
    </w:p>
    <w:p>
      <w:pPr>
        <w:pStyle w:val="Heading5"/>
        <w:numPr>
          <w:ilvl w:val="0"/>
          <w:numId w:val="108"/>
        </w:numPr>
      </w:pPr>
      <w:r>
        <w:rPr/>
        <w:t>ATTEINTES EPIPHYSAIRES</w:t>
      </w:r>
    </w:p>
    <w:p>
      <w:pPr>
        <w:numPr>
          <w:ilvl w:val="1"/>
          <w:numId w:val="13"/>
        </w:numPr>
      </w:pPr>
      <w:r>
        <w:rPr/>
        <w:t>Retard d’apparition des points d’ossification</w:t>
      </w:r>
    </w:p>
    <w:p>
      <w:pPr>
        <w:numPr>
          <w:ilvl w:val="1"/>
          <w:numId w:val="13"/>
        </w:numPr>
      </w:pPr>
      <w:r>
        <w:rPr/>
        <w:t>Flous ou irréguliers</w:t>
      </w:r>
      <w:r>
        <w:rPr/>
        <w:br/>
      </w:r>
    </w:p>
    <w:p>
      <w:pPr>
        <w:pStyle w:val="Heading5"/>
        <w:numPr>
          <w:ilvl w:val="0"/>
          <w:numId w:val="108"/>
        </w:numPr>
      </w:pPr>
      <w:r>
        <w:rPr/>
        <w:t>LESIONS DIAPHYSAIRES</w:t>
      </w:r>
    </w:p>
    <w:p>
      <w:pPr>
        <w:numPr>
          <w:ilvl w:val="1"/>
          <w:numId w:val="13"/>
        </w:numPr>
      </w:pPr>
      <w:r>
        <w:rPr/>
        <w:t>Diminution de la densité osseuse</w:t>
      </w:r>
    </w:p>
    <w:p>
      <w:pPr>
        <w:numPr>
          <w:ilvl w:val="1"/>
          <w:numId w:val="13"/>
        </w:numPr>
      </w:pPr>
      <w:r>
        <w:rPr/>
        <w:t>Amaincissement</w:t>
      </w:r>
      <w:r>
        <w:rPr/>
        <w:t xml:space="preserve"> des corticales</w:t>
      </w:r>
    </w:p>
    <w:p>
      <w:pPr>
        <w:numPr>
          <w:ilvl w:val="1"/>
          <w:numId w:val="13"/>
        </w:numPr>
      </w:pPr>
      <w:r>
        <w:rPr/>
        <w:t>Aspect de corticale feuilletée</w:t>
      </w:r>
    </w:p>
    <w:p>
      <w:pPr>
        <w:numPr>
          <w:ilvl w:val="1"/>
          <w:numId w:val="13"/>
        </w:numPr>
      </w:pPr>
      <w:r>
        <w:rPr/>
        <w:t xml:space="preserve">Coxa vara, </w:t>
      </w:r>
      <w:r>
        <w:rPr/>
        <w:t>genu</w:t>
      </w:r>
      <w:r>
        <w:rPr/>
        <w:t xml:space="preserve"> varum</w:t>
      </w:r>
      <w:r>
        <w:rPr/>
        <w:br/>
      </w:r>
    </w:p>
    <w:p>
      <w:pPr>
        <w:pStyle w:val="Heading5"/>
        <w:numPr>
          <w:ilvl w:val="0"/>
          <w:numId w:val="108"/>
        </w:numPr>
      </w:pPr>
      <w:r>
        <w:rPr/>
        <w:t>LESIONS DU THORAX</w:t>
      </w:r>
    </w:p>
    <w:p>
      <w:pPr>
        <w:numPr>
          <w:ilvl w:val="1"/>
          <w:numId w:val="13"/>
        </w:numPr>
      </w:pPr>
      <w:r>
        <w:rPr/>
        <w:t xml:space="preserve">Elargissement de la jonction </w:t>
      </w:r>
      <w:r>
        <w:rPr/>
        <w:t>chondrocostale</w:t>
      </w:r>
      <w:r>
        <w:rPr/>
        <w:t xml:space="preserve"> “ images en bouchon de champagne”</w:t>
      </w:r>
    </w:p>
    <w:p>
      <w:pPr>
        <w:numPr>
          <w:ilvl w:val="1"/>
          <w:numId w:val="13"/>
        </w:numPr>
      </w:pPr>
      <w:r>
        <w:rPr/>
        <w:t>Fractures costales</w:t>
      </w:r>
      <w:r>
        <w:rPr/>
        <w:br/>
      </w:r>
    </w:p>
    <w:p>
      <w:pPr>
        <w:pStyle w:val="Heading5"/>
        <w:numPr>
          <w:ilvl w:val="0"/>
          <w:numId w:val="108"/>
        </w:numPr>
      </w:pPr>
      <w:r>
        <w:rPr/>
        <w:t>CRANE</w:t>
      </w:r>
    </w:p>
    <w:p>
      <w:pPr>
        <w:numPr>
          <w:ilvl w:val="1"/>
          <w:numId w:val="13"/>
        </w:numPr>
      </w:pPr>
      <w:r>
        <w:rPr/>
        <w:t>Epaississement de la voute après 2 ans</w:t>
      </w:r>
    </w:p>
    <w:p>
      <w:pPr>
        <w:numPr>
          <w:ilvl w:val="1"/>
          <w:numId w:val="13"/>
        </w:numPr>
      </w:pPr>
      <w:r>
        <w:rPr/>
        <w:t>Elargissement des sutures et des fontanelles (</w:t>
      </w:r>
      <w:r>
        <w:rPr>
          <w:i/>
        </w:rPr>
        <w:t>si rachitisme non traité à temps)</w:t>
      </w:r>
    </w:p>
    <w:p>
      <w:pPr/>
    </w:p>
    <w:p>
      <w:pPr>
        <w:pStyle w:val="Heading4"/>
        <w:numPr>
          <w:ilvl w:val="0"/>
          <w:numId w:val="106"/>
        </w:numPr>
      </w:pPr>
      <w:r>
        <w:rPr/>
        <w:t>SIGNES BIOLOGIQUES</w:t>
      </w:r>
    </w:p>
    <w:p>
      <w:pPr>
        <w:numPr>
          <w:ilvl w:val="0"/>
          <w:numId w:val="14"/>
        </w:numPr>
      </w:pPr>
      <w:r>
        <w:rPr>
          <w:b/>
        </w:rPr>
        <w:t xml:space="preserve">Phosphatase alcaline constamment élevée </w:t>
      </w:r>
      <w:r>
        <w:rPr/>
        <w:t>= marqueur de la résorption osseuse</w:t>
      </w:r>
    </w:p>
    <w:p>
      <w:pPr>
        <w:numPr>
          <w:ilvl w:val="0"/>
          <w:numId w:val="14"/>
        </w:numPr>
      </w:pPr>
      <w:r>
        <w:rPr/>
        <w:t>Normocalcémie</w:t>
      </w:r>
      <w:r>
        <w:rPr/>
        <w:t xml:space="preserve"> ou hypocalcémie selon les stades</w:t>
      </w:r>
    </w:p>
    <w:p>
      <w:pPr>
        <w:numPr>
          <w:ilvl w:val="0"/>
          <w:numId w:val="14"/>
        </w:numPr>
      </w:pPr>
      <w:r>
        <w:rPr/>
        <w:t xml:space="preserve">Hypophosphorémie (constante) et </w:t>
      </w:r>
      <w:r>
        <w:rPr/>
        <w:t>hyperphosphaturie</w:t>
      </w:r>
    </w:p>
    <w:p>
      <w:pPr>
        <w:numPr>
          <w:ilvl w:val="0"/>
          <w:numId w:val="14"/>
        </w:numPr>
      </w:pPr>
      <w:r>
        <w:rPr/>
        <w:t>Recherche d’autres signes de carence</w:t>
      </w:r>
    </w:p>
    <w:p>
      <w:pPr>
        <w:numPr>
          <w:ilvl w:val="1"/>
          <w:numId w:val="14"/>
        </w:numPr>
      </w:pPr>
      <w:r>
        <w:rPr/>
        <w:t>Anémie ferriprive</w:t>
      </w:r>
    </w:p>
    <w:p>
      <w:pPr/>
    </w:p>
    <w:p>
      <w:pPr>
        <w:pStyle w:val="Heading3"/>
        <w:numPr>
          <w:ilvl w:val="0"/>
          <w:numId w:val="107"/>
        </w:numPr>
      </w:pPr>
      <w:r>
        <w:rPr/>
        <w:t>Formes cliniques</w:t>
      </w:r>
    </w:p>
    <w:p>
      <w:pPr>
        <w:numPr>
          <w:ilvl w:val="0"/>
          <w:numId w:val="16"/>
        </w:numPr>
      </w:pPr>
      <w:r>
        <w:rPr/>
        <w:t xml:space="preserve">Stade précoce : tétanie </w:t>
      </w:r>
      <w:r>
        <w:rPr/>
        <w:t>hypocalcémique</w:t>
      </w:r>
      <w:r>
        <w:rPr/>
        <w:t xml:space="preserve"> &lt; 6 mois</w:t>
      </w:r>
    </w:p>
    <w:p>
      <w:pPr>
        <w:numPr>
          <w:ilvl w:val="1"/>
          <w:numId w:val="16"/>
        </w:numPr>
      </w:pPr>
      <w:r>
        <w:rPr/>
        <w:t>Signes neuromusculaires : trémulations, hyperexcitabilité, convulsions</w:t>
      </w:r>
    </w:p>
    <w:p>
      <w:pPr>
        <w:numPr>
          <w:ilvl w:val="1"/>
          <w:numId w:val="16"/>
        </w:numPr>
      </w:pPr>
      <w:r>
        <w:rPr/>
        <w:t>Signes osseux encore discrets : strictement normale ou très discret élargissement transversal avec spicules latéraux métaphysaires</w:t>
      </w:r>
    </w:p>
    <w:p>
      <w:pPr>
        <w:numPr>
          <w:ilvl w:val="1"/>
          <w:numId w:val="16"/>
        </w:numPr>
      </w:pPr>
      <w:r>
        <w:rPr/>
        <w:t xml:space="preserve">Biologie : calcémie </w:t>
      </w:r>
      <w:r>
        <w:rPr/>
        <w:t>vasse</w:t>
      </w:r>
      <w:r>
        <w:rPr/>
        <w:t>, phosphorémie normale, PAL augmenté</w:t>
      </w:r>
    </w:p>
    <w:p>
      <w:pPr>
        <w:numPr>
          <w:ilvl w:val="0"/>
          <w:numId w:val="16"/>
        </w:numPr>
      </w:pPr>
      <w:r>
        <w:rPr/>
        <w:t>Forme clinique du grand enfant &gt; 2 ans</w:t>
      </w:r>
    </w:p>
    <w:p>
      <w:pPr>
        <w:numPr>
          <w:ilvl w:val="1"/>
          <w:numId w:val="16"/>
        </w:numPr>
      </w:pPr>
      <w:r>
        <w:rPr/>
        <w:t>Stade de rachitisme sévère : carence d’apport prolongée</w:t>
      </w:r>
    </w:p>
    <w:p>
      <w:pPr>
        <w:numPr>
          <w:ilvl w:val="1"/>
          <w:numId w:val="16"/>
        </w:numPr>
      </w:pPr>
      <w:r>
        <w:rPr/>
        <w:t>Douleur osseuse diffuse, mécanique, prédomine au niveau du rachis et de la ceinture</w:t>
      </w:r>
    </w:p>
    <w:p>
      <w:pPr>
        <w:numPr>
          <w:ilvl w:val="1"/>
          <w:numId w:val="16"/>
        </w:numPr>
      </w:pPr>
      <w:r>
        <w:rPr/>
        <w:t>Marche dandinante avec myalgie, faiblesse musculaire</w:t>
      </w:r>
    </w:p>
    <w:p>
      <w:pPr>
        <w:numPr>
          <w:ilvl w:val="1"/>
          <w:numId w:val="16"/>
        </w:numPr>
      </w:pPr>
      <w:r>
        <w:rPr/>
        <w:t xml:space="preserve">Déformation osseuse (formes évoluées) : membre inférieur en varum ou </w:t>
      </w:r>
      <w:r>
        <w:rPr/>
        <w:t>valgum ;</w:t>
      </w:r>
      <w:r>
        <w:rPr/>
        <w:t xml:space="preserve"> perte de la taille du </w:t>
      </w:r>
      <w:r>
        <w:rPr/>
        <w:t>rachis ;</w:t>
      </w:r>
      <w:r>
        <w:rPr/>
        <w:t xml:space="preserve"> thorax en </w:t>
      </w:r>
      <w:r>
        <w:rPr/>
        <w:t>cloche ;</w:t>
      </w:r>
      <w:r>
        <w:rPr/>
        <w:t xml:space="preserve"> sternum en </w:t>
      </w:r>
      <w:r>
        <w:rPr/>
        <w:t>carène ;</w:t>
      </w:r>
      <w:r>
        <w:rPr/>
        <w:t xml:space="preserve"> fracture</w:t>
      </w:r>
    </w:p>
    <w:p>
      <w:pPr/>
    </w:p>
    <w:p>
      <w:pPr>
        <w:pStyle w:val="Heading2"/>
        <w:numPr>
          <w:ilvl w:val="0"/>
          <w:numId w:val="105"/>
        </w:numPr>
      </w:pPr>
      <w:r>
        <w:rPr/>
        <w:t>ETIOLOGIES</w:t>
      </w:r>
    </w:p>
    <w:p>
      <w:pPr>
        <w:numPr>
          <w:ilvl w:val="0"/>
          <w:numId w:val="18"/>
        </w:numPr>
      </w:pPr>
      <w:r>
        <w:rPr>
          <w:b/>
        </w:rPr>
        <w:t>Absence de supplémentation</w:t>
      </w:r>
      <w:r>
        <w:rPr>
          <w:b/>
        </w:rPr>
        <w:br/>
      </w:r>
    </w:p>
    <w:p>
      <w:pPr>
        <w:numPr>
          <w:ilvl w:val="0"/>
          <w:numId w:val="18"/>
        </w:numPr>
      </w:pPr>
      <w:r>
        <w:rPr>
          <w:b/>
        </w:rPr>
        <w:t>Vitamine D non métabolisé</w:t>
      </w:r>
    </w:p>
    <w:p>
      <w:pPr>
        <w:numPr>
          <w:ilvl w:val="1"/>
          <w:numId w:val="18"/>
        </w:numPr>
      </w:pPr>
      <w:r>
        <w:rPr/>
        <w:t xml:space="preserve">Malabsorption : maladie </w:t>
      </w:r>
      <w:r>
        <w:rPr/>
        <w:t>cœliaque</w:t>
      </w:r>
      <w:r>
        <w:rPr/>
        <w:t>, mucoviscidose</w:t>
      </w:r>
    </w:p>
    <w:p>
      <w:pPr>
        <w:numPr>
          <w:ilvl w:val="1"/>
          <w:numId w:val="18"/>
        </w:numPr>
      </w:pPr>
      <w:r>
        <w:rPr/>
        <w:t>Absence de sels biliaires : cholestase</w:t>
      </w:r>
    </w:p>
    <w:p>
      <w:pPr>
        <w:numPr>
          <w:ilvl w:val="1"/>
          <w:numId w:val="18"/>
        </w:numPr>
      </w:pPr>
      <w:r>
        <w:rPr/>
        <w:t>Maladie rénale : syndrome néphrotique</w:t>
      </w:r>
    </w:p>
    <w:p>
      <w:pPr>
        <w:numPr>
          <w:ilvl w:val="1"/>
          <w:numId w:val="18"/>
        </w:numPr>
      </w:pPr>
      <w:r>
        <w:rPr/>
        <w:t>Iatrogène : anticonvulsivant, corticoïde</w:t>
      </w:r>
      <w:r>
        <w:rPr/>
        <w:br/>
      </w:r>
    </w:p>
    <w:p>
      <w:pPr>
        <w:numPr>
          <w:ilvl w:val="0"/>
          <w:numId w:val="18"/>
        </w:numPr>
      </w:pPr>
      <w:r>
        <w:rPr>
          <w:b/>
        </w:rPr>
        <w:t>Déficit en 25-OH déshydrogénase</w:t>
      </w:r>
    </w:p>
    <w:p>
      <w:pPr>
        <w:numPr>
          <w:ilvl w:val="1"/>
          <w:numId w:val="18"/>
        </w:numPr>
      </w:pPr>
      <w:r>
        <w:rPr/>
        <w:t>Résistance périphérique à la 1-25 OH déshydrogénase</w:t>
      </w:r>
    </w:p>
    <w:p>
      <w:pPr/>
    </w:p>
    <w:p>
      <w:pPr>
        <w:pStyle w:val="Heading2"/>
        <w:numPr>
          <w:ilvl w:val="0"/>
          <w:numId w:val="105"/>
        </w:numPr>
      </w:pPr>
      <w:r>
        <w:rPr/>
        <w:t>TRAITEMENT</w:t>
      </w:r>
    </w:p>
    <w:p>
      <w:pPr>
        <w:pStyle w:val="Heading3"/>
        <w:numPr>
          <w:ilvl w:val="0"/>
          <w:numId w:val="109"/>
        </w:numPr>
      </w:pPr>
      <w:r>
        <w:rPr/>
        <w:t>Traitement curatif</w:t>
      </w:r>
    </w:p>
    <w:p>
      <w:pPr>
        <w:numPr>
          <w:ilvl w:val="0"/>
          <w:numId w:val="19"/>
        </w:numPr>
      </w:pPr>
      <w:r>
        <w:rPr>
          <w:b/>
        </w:rPr>
        <w:t xml:space="preserve">Traitement de l’hypocalcémie sévère &lt; 2mmol/l : </w:t>
      </w:r>
      <w:r>
        <w:rPr/>
        <w:t>URGENCE THERAPEUTIQUE : supplémentation IV en Gluconate de Calcium 10%</w:t>
      </w:r>
    </w:p>
    <w:p>
      <w:pPr>
        <w:numPr>
          <w:ilvl w:val="1"/>
          <w:numId w:val="19"/>
        </w:numPr>
      </w:pPr>
      <w:r>
        <w:rPr/>
        <w:t>500 - 1500 mg/m²/24h dilué dans SGI 5%</w:t>
      </w:r>
      <w:r>
        <w:rPr/>
        <w:br/>
      </w:r>
    </w:p>
    <w:p>
      <w:pPr>
        <w:numPr>
          <w:ilvl w:val="1"/>
          <w:numId w:val="19"/>
        </w:numPr>
      </w:pPr>
      <w:r>
        <w:rPr/>
        <w:t>Au bout de 24 - 48 h après normalisation : vitamine D + calcium per os</w:t>
      </w:r>
    </w:p>
    <w:p>
      <w:pPr>
        <w:numPr>
          <w:ilvl w:val="0"/>
          <w:numId w:val="19"/>
        </w:numPr>
      </w:pPr>
      <w:r>
        <w:rPr>
          <w:b/>
        </w:rPr>
        <w:t>Si calcémie &gt; 2mmol/l ou Signe radiologique :</w:t>
      </w:r>
    </w:p>
    <w:p>
      <w:pPr>
        <w:numPr>
          <w:ilvl w:val="1"/>
          <w:numId w:val="19"/>
        </w:numPr>
      </w:pPr>
      <w:r>
        <w:rPr/>
        <w:t>Vitamine D 200.000 UI PO 1 fois à renouveler 1 mois plus tard</w:t>
      </w:r>
    </w:p>
    <w:p>
      <w:pPr>
        <w:numPr>
          <w:ilvl w:val="1"/>
          <w:numId w:val="19"/>
        </w:numPr>
      </w:pPr>
      <w:r>
        <w:rPr/>
        <w:t>Gluconate de calcium 0,5 à 1g/j pendant 15 jours</w:t>
      </w:r>
    </w:p>
    <w:p>
      <w:pPr>
        <w:numPr>
          <w:ilvl w:val="1"/>
          <w:numId w:val="19"/>
        </w:numPr>
      </w:pPr>
      <w:r>
        <w:rPr>
          <w:b/>
        </w:rPr>
        <w:t>Traitement des carences associées en fer et folates</w:t>
      </w:r>
    </w:p>
    <w:p>
      <w:pPr/>
    </w:p>
    <w:p>
      <w:pPr>
        <w:pStyle w:val="Heading4"/>
      </w:pPr>
      <w:r>
        <w:rPr/>
        <w:t>EVOLUTION SOUS TRAITEMENT</w:t>
      </w:r>
    </w:p>
    <w:p>
      <w:pPr>
        <w:numPr>
          <w:ilvl w:val="0"/>
          <w:numId w:val="20"/>
        </w:numPr>
      </w:pPr>
      <w:r>
        <w:rPr/>
        <w:t>Correction de la calcémie en 48h</w:t>
      </w:r>
    </w:p>
    <w:p>
      <w:pPr>
        <w:numPr>
          <w:ilvl w:val="0"/>
          <w:numId w:val="20"/>
        </w:numPr>
      </w:pPr>
      <w:r>
        <w:rPr/>
        <w:t>Normalisation des PAL en 1 mois</w:t>
      </w:r>
      <w:r>
        <w:rPr/>
        <w:br/>
      </w:r>
    </w:p>
    <w:p>
      <w:pPr>
        <w:numPr>
          <w:ilvl w:val="0"/>
          <w:numId w:val="20"/>
        </w:numPr>
      </w:pPr>
      <w:r>
        <w:rPr/>
        <w:t>Apparition d’une bande dense transversale entre la métaphyse et l’épiphyse à 3 semaines de traitement</w:t>
      </w:r>
    </w:p>
    <w:p>
      <w:pPr>
        <w:numPr>
          <w:ilvl w:val="0"/>
          <w:numId w:val="20"/>
        </w:numPr>
      </w:pPr>
      <w:r>
        <w:rPr/>
        <w:t>Reprise de croissance métaphysaire avec accrétion osseuse N</w:t>
      </w:r>
    </w:p>
    <w:p>
      <w:pPr>
        <w:numPr>
          <w:ilvl w:val="0"/>
          <w:numId w:val="20"/>
        </w:numPr>
      </w:pPr>
      <w:r>
        <w:rPr/>
        <w:t>Remodelage des déformation</w:t>
      </w:r>
      <w:r>
        <w:rPr/>
        <w:t>s</w:t>
      </w:r>
      <w:r>
        <w:rPr/>
        <w:t xml:space="preserve"> plus lentement en plusieurs mois et peuvent nécessiter un traitement orthopédique d’appoint</w:t>
      </w:r>
    </w:p>
    <w:p>
      <w:pPr/>
    </w:p>
    <w:p>
      <w:pPr>
        <w:pStyle w:val="Heading3"/>
        <w:numPr>
          <w:ilvl w:val="0"/>
          <w:numId w:val="109"/>
        </w:numPr>
      </w:pPr>
      <w:r>
        <w:rPr/>
        <w:t>TRAITEMENT PREVENTIF</w:t>
      </w:r>
    </w:p>
    <w:p>
      <w:pPr>
        <w:pStyle w:val="Heading4"/>
        <w:numPr>
          <w:ilvl w:val="0"/>
          <w:numId w:val="110"/>
        </w:numPr>
      </w:pPr>
      <w:r>
        <w:rPr/>
        <w:t>Avant la naissance</w:t>
      </w:r>
    </w:p>
    <w:p>
      <w:pPr>
        <w:numPr>
          <w:ilvl w:val="1"/>
          <w:numId w:val="21"/>
        </w:numPr>
      </w:pPr>
      <w:r>
        <w:rPr/>
        <w:t>Administration de vitamine D aux femmes enceintes au cours du dernier trimestre de la grossesse</w:t>
      </w:r>
    </w:p>
    <w:p>
      <w:pPr>
        <w:numPr>
          <w:ilvl w:val="1"/>
          <w:numId w:val="21"/>
        </w:numPr>
      </w:pPr>
      <w:r>
        <w:rPr/>
        <w:t>100.000 à 200.000 UI au 7</w:t>
      </w:r>
      <w:r>
        <w:rPr/>
        <w:t>ème</w:t>
      </w:r>
      <w:r>
        <w:rPr/>
        <w:t xml:space="preserve"> mois de grossesse</w:t>
      </w:r>
      <w:r>
        <w:rPr/>
        <w:br/>
      </w:r>
    </w:p>
    <w:p>
      <w:pPr>
        <w:pStyle w:val="Heading4"/>
        <w:numPr>
          <w:ilvl w:val="0"/>
          <w:numId w:val="110"/>
        </w:numPr>
      </w:pPr>
      <w:r>
        <w:rPr/>
        <w:t>De la naissance à 18 mois :</w:t>
      </w:r>
    </w:p>
    <w:p>
      <w:pPr>
        <w:numPr>
          <w:ilvl w:val="1"/>
          <w:numId w:val="21"/>
        </w:numPr>
      </w:pPr>
      <w:r>
        <w:rPr/>
        <w:t>Supplémentation systématique quotidien, en tenant compte des apports alimentaires : 1200 UI de vitamine D</w:t>
      </w:r>
    </w:p>
    <w:p>
      <w:pPr>
        <w:numPr>
          <w:ilvl w:val="1"/>
          <w:numId w:val="21"/>
        </w:numPr>
      </w:pPr>
      <w:r>
        <w:rPr/>
        <w:t>Début dès les premiers jours de vie</w:t>
      </w:r>
      <w:r>
        <w:rPr/>
        <w:br/>
        <w:t>ERGOCALCIFEROL STEROGYL* gouttes</w:t>
      </w:r>
    </w:p>
    <w:p>
      <w:pPr>
        <w:numPr>
          <w:ilvl w:val="2"/>
          <w:numId w:val="21"/>
        </w:numPr>
      </w:pPr>
      <w:r>
        <w:rPr/>
        <w:t xml:space="preserve">1 goutte = 400 UI soit 3 gouttes par jour </w:t>
      </w:r>
      <w:r>
        <w:rPr>
          <w:i/>
        </w:rPr>
        <w:t>jusqu’à 6 mois puis 4 gouttes par jour jusqu’à 18 mois</w:t>
      </w:r>
    </w:p>
    <w:p>
      <w:pPr>
        <w:numPr>
          <w:ilvl w:val="1"/>
          <w:numId w:val="21"/>
        </w:numPr>
      </w:pPr>
      <w:r>
        <w:rPr/>
        <w:t>Soit administration en dose de charge de 80.000 à 100.000 UI tous les 3 à 4 mois</w:t>
      </w:r>
      <w:r>
        <w:rPr/>
        <w:br/>
      </w:r>
    </w:p>
    <w:p>
      <w:pPr>
        <w:pStyle w:val="Heading4"/>
        <w:numPr>
          <w:ilvl w:val="0"/>
          <w:numId w:val="110"/>
        </w:numPr>
      </w:pPr>
      <w:r>
        <w:rPr/>
        <w:t>Après 18 mois :</w:t>
      </w:r>
    </w:p>
    <w:p>
      <w:pPr>
        <w:numPr>
          <w:ilvl w:val="1"/>
          <w:numId w:val="21"/>
        </w:numPr>
      </w:pPr>
      <w:r>
        <w:rPr/>
        <w:t>Au cours de l’hiver, une dose de vitamine D de 80.000 à 100.000 UI au milieu de la saison froide jusqu’à la fin de la croissance</w:t>
      </w:r>
    </w:p>
    <w:p>
      <w:pPr>
        <w:numPr>
          <w:ilvl w:val="1"/>
          <w:numId w:val="21"/>
        </w:numPr>
      </w:pPr>
      <w:r>
        <w:rPr/>
        <w:t>Pour toutes les situations à risque chez le grand enfant et l’adolescent, administration régulière de 80.000 à 100.000 UI de vitamine D tous les 3 à 4 mois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22"/>
        </w:numPr>
      </w:pPr>
      <w:r>
        <w:rPr/>
        <w:t>Rachitisme : carence en vitamine D</w:t>
      </w:r>
    </w:p>
    <w:p>
      <w:pPr>
        <w:numPr>
          <w:ilvl w:val="0"/>
          <w:numId w:val="22"/>
        </w:numPr>
      </w:pPr>
      <w:r>
        <w:rPr/>
        <w:t>-&gt; hypocalcémie</w:t>
      </w:r>
    </w:p>
    <w:p>
      <w:pPr>
        <w:numPr>
          <w:ilvl w:val="0"/>
          <w:numId w:val="22"/>
        </w:numPr>
      </w:pPr>
      <w:r>
        <w:rPr/>
        <w:t>-&gt; Déformation osseuse</w:t>
      </w:r>
    </w:p>
    <w:p>
      <w:pPr>
        <w:numPr>
          <w:ilvl w:val="0"/>
          <w:numId w:val="22"/>
        </w:numPr>
      </w:pPr>
      <w:r>
        <w:rPr/>
        <w:t>Le seul traitement pour éviter les complications est la prévention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