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ROUGEOLE</w:t>
      </w:r>
    </w:p>
    <w:p>
      <w:pPr>
        <w:pStyle w:val="Heading2"/>
      </w:pPr>
      <w:r>
        <w:rPr/>
        <w:t xml:space="preserve">Introduction </w:t>
      </w:r>
    </w:p>
    <w:p>
      <w:pPr>
        <w:numPr>
          <w:ilvl w:val="0"/>
          <w:numId w:val="7"/>
        </w:numPr>
      </w:pPr>
      <w:r>
        <w:rPr/>
        <w:t>Maladie virale éruptive</w:t>
      </w:r>
    </w:p>
    <w:p>
      <w:pPr>
        <w:numPr>
          <w:ilvl w:val="0"/>
          <w:numId w:val="7"/>
        </w:numPr>
      </w:pPr>
      <w:r>
        <w:rPr/>
        <w:t>Agent : paramyxovirus</w:t>
      </w:r>
    </w:p>
    <w:p>
      <w:pPr>
        <w:numPr>
          <w:ilvl w:val="0"/>
          <w:numId w:val="7"/>
        </w:numPr>
      </w:pPr>
      <w:r>
        <w:rPr/>
        <w:t>Transmission directe par voie aérienne</w:t>
      </w:r>
    </w:p>
    <w:p>
      <w:pPr>
        <w:numPr>
          <w:ilvl w:val="0"/>
          <w:numId w:val="7"/>
        </w:numPr>
      </w:pPr>
      <w:r>
        <w:rPr/>
        <w:t>Incubation : 10 à 12 jours</w:t>
      </w:r>
    </w:p>
    <w:p>
      <w:pPr>
        <w:numPr>
          <w:ilvl w:val="0"/>
          <w:numId w:val="7"/>
        </w:numPr>
      </w:pPr>
      <w:r>
        <w:rPr/>
        <w:t>Contagiosité : 5 j avant le début de l'éruption et 5 j après</w:t>
      </w:r>
    </w:p>
    <w:p>
      <w:pPr>
        <w:numPr>
          <w:ilvl w:val="0"/>
          <w:numId w:val="7"/>
        </w:numPr>
      </w:pPr>
      <w:r>
        <w:rPr/>
        <w:t>Immunité durable</w:t>
      </w:r>
      <w:r>
        <w:rPr/>
        <w:br/>
      </w:r>
    </w:p>
    <w:p>
      <w:pPr>
        <w:pStyle w:val="Heading2"/>
        <w:numPr>
          <w:ilvl w:val="0"/>
          <w:numId w:val="55"/>
        </w:numPr>
      </w:pPr>
      <w:r>
        <w:rPr/>
        <w:t>Diagnostic positif</w:t>
      </w:r>
    </w:p>
    <w:p>
      <w:pPr>
        <w:pStyle w:val="Heading3"/>
        <w:numPr>
          <w:ilvl w:val="0"/>
          <w:numId w:val="56"/>
        </w:numPr>
      </w:pPr>
      <w:r>
        <w:rPr/>
        <w:t>Anamnèse</w:t>
      </w:r>
      <w:r>
        <w:rPr/>
        <w:t xml:space="preserve"> </w:t>
      </w:r>
    </w:p>
    <w:p>
      <w:pPr>
        <w:numPr>
          <w:ilvl w:val="1"/>
          <w:numId w:val="8"/>
        </w:numPr>
      </w:pPr>
      <w:r>
        <w:rPr/>
        <w:t>Absence d'antécédent de rougeole</w:t>
      </w:r>
    </w:p>
    <w:p>
      <w:pPr>
        <w:numPr>
          <w:ilvl w:val="1"/>
          <w:numId w:val="8"/>
        </w:numPr>
      </w:pPr>
      <w:r>
        <w:rPr/>
        <w:t xml:space="preserve">Absence de vaccination </w:t>
      </w:r>
      <w:r>
        <w:rPr/>
        <w:t>antirougeoleuse</w:t>
      </w:r>
    </w:p>
    <w:p>
      <w:pPr>
        <w:numPr>
          <w:ilvl w:val="1"/>
          <w:numId w:val="8"/>
        </w:numPr>
      </w:pPr>
      <w:r>
        <w:rPr/>
        <w:t>Contagiosité 2 semaines avant l'éruption (</w:t>
      </w:r>
      <w:r>
        <w:rPr>
          <w:i/>
        </w:rPr>
        <w:t xml:space="preserve">un cas dans l'entourage dans les 2 dernières semaines) </w:t>
      </w:r>
      <w:r>
        <w:rPr>
          <w:i/>
        </w:rPr>
        <w:br/>
      </w:r>
    </w:p>
    <w:p>
      <w:pPr>
        <w:pStyle w:val="Heading3"/>
        <w:numPr>
          <w:ilvl w:val="0"/>
          <w:numId w:val="56"/>
        </w:numPr>
      </w:pPr>
      <w:r>
        <w:rPr/>
        <w:t>Phase d'invasion (catarrhale ou pré-éruptive)</w:t>
      </w:r>
      <w:r>
        <w:rPr/>
        <w:t xml:space="preserve"> </w:t>
      </w:r>
    </w:p>
    <w:p>
      <w:pPr>
        <w:numPr>
          <w:ilvl w:val="1"/>
          <w:numId w:val="8"/>
        </w:numPr>
      </w:pPr>
      <w:r>
        <w:rPr/>
        <w:t>Fièvre élevée</w:t>
      </w:r>
    </w:p>
    <w:p>
      <w:pPr>
        <w:numPr>
          <w:ilvl w:val="1"/>
          <w:numId w:val="8"/>
        </w:numPr>
      </w:pPr>
      <w:r>
        <w:rPr/>
        <w:t xml:space="preserve">Catarrhe </w:t>
      </w:r>
      <w:r>
        <w:rPr/>
        <w:t>oculo</w:t>
      </w:r>
      <w:r>
        <w:rPr/>
        <w:t>-respiratoire : larmoiement, conjonctivite, rhinorrhée, toux (</w:t>
      </w:r>
      <w:r>
        <w:rPr>
          <w:i/>
        </w:rPr>
        <w:t>yeux rouges</w:t>
      </w:r>
      <w:r>
        <w:rPr>
          <w:i/>
        </w:rPr>
        <w:t xml:space="preserve"> un peu fatiguée, tout suinte) </w:t>
      </w:r>
    </w:p>
    <w:p>
      <w:pPr>
        <w:numPr>
          <w:ilvl w:val="1"/>
          <w:numId w:val="8"/>
        </w:numPr>
      </w:pPr>
      <w:r>
        <w:rPr/>
        <w:t xml:space="preserve">Énanthème pathognomonique : signe de </w:t>
      </w:r>
      <w:r>
        <w:rPr/>
        <w:t>Köplik</w:t>
      </w:r>
    </w:p>
    <w:p>
      <w:pPr>
        <w:numPr>
          <w:ilvl w:val="2"/>
          <w:numId w:val="8"/>
        </w:numPr>
      </w:pPr>
      <w:r>
        <w:rPr/>
        <w:t>Tâches punctiformes blanches bleutées sur une muqueuse jugale inflammatoire</w:t>
      </w:r>
    </w:p>
    <w:p>
      <w:pPr>
        <w:numPr>
          <w:ilvl w:val="1"/>
          <w:numId w:val="8"/>
        </w:numPr>
      </w:pPr>
      <w:r>
        <w:rPr/>
        <w:t>Durée : 2 à 4 jours</w:t>
      </w:r>
    </w:p>
    <w:p>
      <w:pPr>
        <w:numPr>
          <w:ilvl w:val="1"/>
          <w:numId w:val="8"/>
        </w:numPr>
      </w:pPr>
      <w:r>
        <w:rPr>
          <w:b/>
        </w:rPr>
        <w:t>Déjà contagieux</w:t>
      </w:r>
      <w:r>
        <w:rPr>
          <w:b/>
        </w:rPr>
        <w:br/>
      </w:r>
    </w:p>
    <w:p>
      <w:pPr>
        <w:pStyle w:val="Heading3"/>
        <w:numPr>
          <w:ilvl w:val="0"/>
          <w:numId w:val="56"/>
        </w:numPr>
      </w:pPr>
      <w:r>
        <w:rPr/>
        <w:t>Phase éruptive</w:t>
      </w:r>
    </w:p>
    <w:p>
      <w:pPr>
        <w:numPr>
          <w:ilvl w:val="1"/>
          <w:numId w:val="8"/>
        </w:numPr>
      </w:pPr>
      <w:r>
        <w:rPr/>
        <w:t>Début : environ 2 semaines après le contage</w:t>
      </w:r>
    </w:p>
    <w:p>
      <w:pPr>
        <w:numPr>
          <w:ilvl w:val="1"/>
          <w:numId w:val="8"/>
        </w:numPr>
      </w:pPr>
      <w:r>
        <w:rPr/>
        <w:t xml:space="preserve">Exanthème </w:t>
      </w:r>
      <w:r>
        <w:rPr/>
        <w:t>maculopapuleux</w:t>
      </w:r>
    </w:p>
    <w:p>
      <w:pPr>
        <w:numPr>
          <w:ilvl w:val="1"/>
          <w:numId w:val="8"/>
        </w:numPr>
      </w:pPr>
      <w:r>
        <w:rPr/>
        <w:t>Maculopapules</w:t>
      </w:r>
      <w:r>
        <w:rPr/>
        <w:t xml:space="preserve"> non prurigineuses</w:t>
      </w:r>
    </w:p>
    <w:p>
      <w:pPr>
        <w:numPr>
          <w:ilvl w:val="1"/>
          <w:numId w:val="8"/>
        </w:numPr>
      </w:pPr>
      <w:r>
        <w:rPr>
          <w:b/>
        </w:rPr>
        <w:t>Début derrière les oreilles puis extension descendante</w:t>
      </w:r>
      <w:r>
        <w:rPr>
          <w:b/>
        </w:rPr>
        <w:t xml:space="preserve"> </w:t>
      </w:r>
      <w:r>
        <w:rPr>
          <w:b/>
          <w:i/>
        </w:rPr>
        <w:t xml:space="preserve">(face, puis descend) </w:t>
      </w:r>
      <w:r>
        <w:rPr>
          <w:b/>
        </w:rPr>
        <w:t>en une seule poussée en 24-48h</w:t>
      </w:r>
    </w:p>
    <w:p>
      <w:pPr>
        <w:numPr>
          <w:ilvl w:val="1"/>
          <w:numId w:val="8"/>
        </w:numPr>
      </w:pPr>
      <w:r>
        <w:rPr/>
        <w:t>Régression en 5-6j</w:t>
      </w:r>
    </w:p>
    <w:p>
      <w:pPr>
        <w:numPr>
          <w:ilvl w:val="1"/>
          <w:numId w:val="8"/>
        </w:numPr>
      </w:pPr>
      <w:r>
        <w:rPr/>
        <w:t>Persistance des signes de la phase d'invasion</w:t>
      </w:r>
      <w:r>
        <w:rPr/>
        <w:br/>
      </w:r>
    </w:p>
    <w:p>
      <w:pPr>
        <w:pStyle w:val="Heading2"/>
        <w:numPr>
          <w:ilvl w:val="0"/>
          <w:numId w:val="55"/>
        </w:numPr>
      </w:pPr>
      <w:r>
        <w:rPr/>
        <w:t>Complications :</w:t>
      </w:r>
      <w:r>
        <w:rPr/>
        <w:t xml:space="preserve"> surtout chez les enfants non vaccinés</w:t>
      </w:r>
    </w:p>
    <w:p>
      <w:pPr>
        <w:pStyle w:val="Heading3"/>
        <w:numPr>
          <w:ilvl w:val="0"/>
          <w:numId w:val="57"/>
        </w:numPr>
      </w:pPr>
      <w:r>
        <w:rPr/>
        <w:t>Infectieuses :</w:t>
      </w:r>
    </w:p>
    <w:p>
      <w:pPr>
        <w:numPr>
          <w:ilvl w:val="2"/>
          <w:numId w:val="8"/>
        </w:numPr>
      </w:pPr>
      <w:r>
        <w:rPr/>
        <w:t xml:space="preserve">Bronchite, pneumopathie (diffusion virale de la maladie) </w:t>
      </w:r>
    </w:p>
    <w:p>
      <w:pPr>
        <w:numPr>
          <w:ilvl w:val="2"/>
          <w:numId w:val="8"/>
        </w:numPr>
      </w:pPr>
      <w:r>
        <w:rPr/>
        <w:t>Surinfections pulmonaires bactériennes</w:t>
      </w:r>
    </w:p>
    <w:p>
      <w:pPr>
        <w:numPr>
          <w:ilvl w:val="2"/>
          <w:numId w:val="8"/>
        </w:numPr>
      </w:pPr>
      <w:r>
        <w:rPr/>
        <w:t>Otite moyenne aiguë purulente</w:t>
      </w:r>
      <w:r>
        <w:rPr/>
        <w:br/>
      </w:r>
    </w:p>
    <w:p>
      <w:pPr>
        <w:pStyle w:val="Heading3"/>
        <w:numPr>
          <w:ilvl w:val="0"/>
          <w:numId w:val="57"/>
        </w:numPr>
      </w:pPr>
      <w:r>
        <w:rPr/>
        <w:t>Neurologiques</w:t>
      </w:r>
      <w:r>
        <w:rPr/>
        <w:t xml:space="preserve"> </w:t>
      </w:r>
    </w:p>
    <w:p>
      <w:pPr>
        <w:numPr>
          <w:ilvl w:val="2"/>
          <w:numId w:val="8"/>
        </w:numPr>
      </w:pPr>
      <w:r>
        <w:rPr/>
        <w:t xml:space="preserve">Encéphalite aiguë morbilleuse précoce post-éruptive (1/1000) : </w:t>
      </w:r>
      <w:r>
        <w:rPr>
          <w:i/>
        </w:rPr>
        <w:t>convulsion, état comateux</w:t>
      </w:r>
    </w:p>
    <w:p>
      <w:pPr>
        <w:numPr>
          <w:ilvl w:val="2"/>
          <w:numId w:val="8"/>
        </w:numPr>
      </w:pPr>
      <w:r>
        <w:rPr/>
        <w:t>Panencéphalite</w:t>
      </w:r>
      <w:r>
        <w:rPr/>
        <w:t xml:space="preserve"> sclérosante subaiguë de survenue retardée (5 à 10 ans) après la rougeole</w:t>
      </w:r>
      <w:r>
        <w:rPr/>
        <w:br/>
      </w:r>
    </w:p>
    <w:p>
      <w:pPr>
        <w:pStyle w:val="Heading3"/>
        <w:numPr>
          <w:ilvl w:val="0"/>
          <w:numId w:val="57"/>
        </w:numPr>
      </w:pPr>
      <w:r>
        <w:rPr/>
        <w:t>Autres :</w:t>
      </w:r>
      <w:r>
        <w:rPr/>
        <w:t xml:space="preserve"> </w:t>
      </w:r>
    </w:p>
    <w:p>
      <w:pPr>
        <w:numPr>
          <w:ilvl w:val="2"/>
          <w:numId w:val="8"/>
        </w:numPr>
      </w:pPr>
      <w:r>
        <w:rPr/>
        <w:t xml:space="preserve">Ulcérations </w:t>
      </w:r>
      <w:r>
        <w:rPr/>
        <w:t>buccales (</w:t>
      </w:r>
      <w:r>
        <w:rPr>
          <w:i/>
        </w:rPr>
        <w:t xml:space="preserve">ne peuvent pas s'alimenter : déshydratation-&gt; réhydratation intraveineuse) </w:t>
      </w:r>
    </w:p>
    <w:p>
      <w:pPr>
        <w:numPr>
          <w:ilvl w:val="2"/>
          <w:numId w:val="8"/>
        </w:numPr>
      </w:pPr>
      <w:r>
        <w:rPr/>
        <w:t>Gastroentérite avec déshydratation (</w:t>
      </w:r>
      <w:r>
        <w:rPr>
          <w:i/>
        </w:rPr>
        <w:t>réhydratation à l'</w:t>
      </w:r>
      <w:r>
        <w:rPr>
          <w:i/>
        </w:rPr>
        <w:t>hopital</w:t>
      </w:r>
      <w:r>
        <w:rPr>
          <w:i/>
        </w:rPr>
        <w:t xml:space="preserve"> pour les formes modérées et sévères) </w:t>
      </w:r>
      <w:r>
        <w:rPr>
          <w:i/>
        </w:rPr>
        <w:br/>
      </w:r>
    </w:p>
    <w:p>
      <w:pPr>
        <w:pStyle w:val="Heading2"/>
        <w:numPr>
          <w:ilvl w:val="0"/>
          <w:numId w:val="55"/>
        </w:numPr>
      </w:pPr>
      <w:r>
        <w:rPr/>
        <w:t>Examens paracliniques :</w:t>
      </w:r>
    </w:p>
    <w:p>
      <w:pPr>
        <w:numPr>
          <w:ilvl w:val="1"/>
          <w:numId w:val="8"/>
        </w:numPr>
      </w:pPr>
      <w:r>
        <w:rPr/>
        <w:t>Rougeole typique : diagnostic clinique</w:t>
      </w:r>
    </w:p>
    <w:p>
      <w:pPr>
        <w:numPr>
          <w:ilvl w:val="1"/>
          <w:numId w:val="8"/>
        </w:numPr>
      </w:pPr>
      <w:r>
        <w:rPr/>
        <w:t>Diagnostic direct par PCR</w:t>
      </w:r>
    </w:p>
    <w:p>
      <w:pPr>
        <w:numPr>
          <w:ilvl w:val="2"/>
          <w:numId w:val="8"/>
        </w:numPr>
      </w:pPr>
      <w:r>
        <w:rPr/>
        <w:t>Confirmation biologique</w:t>
      </w:r>
    </w:p>
    <w:p>
      <w:pPr>
        <w:numPr>
          <w:ilvl w:val="2"/>
          <w:numId w:val="8"/>
        </w:numPr>
      </w:pPr>
      <w:r>
        <w:rPr/>
        <w:t>Pour une déclaration obligatoire</w:t>
      </w:r>
    </w:p>
    <w:p>
      <w:pPr>
        <w:numPr>
          <w:ilvl w:val="2"/>
          <w:numId w:val="8"/>
        </w:numPr>
      </w:pPr>
      <w:r>
        <w:rPr/>
        <w:t>Non systématique</w:t>
      </w:r>
      <w:r>
        <w:rPr/>
        <w:br/>
      </w:r>
    </w:p>
    <w:p>
      <w:pPr>
        <w:pStyle w:val="Heading2"/>
        <w:numPr>
          <w:ilvl w:val="0"/>
          <w:numId w:val="55"/>
        </w:numPr>
      </w:pPr>
      <w:r>
        <w:rPr/>
        <w:t>Traitement</w:t>
      </w:r>
    </w:p>
    <w:p>
      <w:pPr>
        <w:numPr>
          <w:ilvl w:val="1"/>
          <w:numId w:val="8"/>
        </w:numPr>
      </w:pPr>
      <w:r>
        <w:rPr/>
        <w:t xml:space="preserve">Paracétamol (baisser la fièvre) </w:t>
      </w:r>
    </w:p>
    <w:p>
      <w:pPr>
        <w:numPr>
          <w:ilvl w:val="1"/>
          <w:numId w:val="8"/>
        </w:numPr>
      </w:pPr>
      <w:r>
        <w:rPr/>
        <w:t xml:space="preserve">Désobstruction rhino-pharyngée (DRP) </w:t>
      </w:r>
    </w:p>
    <w:p>
      <w:pPr>
        <w:numPr>
          <w:ilvl w:val="1"/>
          <w:numId w:val="8"/>
        </w:numPr>
      </w:pPr>
      <w:r>
        <w:rPr/>
        <w:t>Vitamine A (</w:t>
      </w:r>
      <w:r>
        <w:rPr>
          <w:i/>
        </w:rPr>
        <w:t>évite les complications, &lt;12 mois : 100.000 UI, 200.000UI pour les &gt;12</w:t>
      </w:r>
    </w:p>
    <w:p>
      <w:pPr>
        <w:numPr>
          <w:ilvl w:val="1"/>
          <w:numId w:val="8"/>
        </w:numPr>
      </w:pPr>
      <w:r>
        <w:rPr/>
        <w:t>Apport hydrique suffisant</w:t>
      </w:r>
    </w:p>
    <w:p>
      <w:pPr>
        <w:numPr>
          <w:ilvl w:val="1"/>
          <w:numId w:val="8"/>
        </w:numPr>
      </w:pPr>
      <w:r>
        <w:rPr/>
        <w:t>Antibiothérapie si surinfections bactériennes</w:t>
      </w:r>
    </w:p>
    <w:p>
      <w:pPr>
        <w:numPr>
          <w:ilvl w:val="1"/>
          <w:numId w:val="8"/>
        </w:numPr>
      </w:pPr>
      <w:r>
        <w:rPr/>
        <w:t>Hospitalisation en cas de signes de gravité</w:t>
      </w:r>
      <w:r>
        <w:rPr/>
        <w:br/>
      </w:r>
    </w:p>
    <w:p>
      <w:pPr>
        <w:pStyle w:val="Heading3"/>
      </w:pPr>
      <w:r>
        <w:rPr/>
        <w:t>Prévention</w:t>
      </w:r>
    </w:p>
    <w:p>
      <w:pPr>
        <w:numPr>
          <w:ilvl w:val="1"/>
          <w:numId w:val="8"/>
        </w:numPr>
      </w:pPr>
      <w:r>
        <w:rPr/>
        <w:t>Vaccination : 2 doses de VAR avant 2 ans (</w:t>
      </w:r>
      <w:r>
        <w:rPr>
          <w:i/>
        </w:rPr>
        <w:t xml:space="preserve">immunité à vie) </w:t>
      </w:r>
    </w:p>
    <w:p>
      <w:pPr>
        <w:numPr>
          <w:ilvl w:val="1"/>
          <w:numId w:val="8"/>
        </w:numPr>
      </w:pPr>
      <w:r>
        <w:rPr/>
        <w:t>Déclaration obligatoire</w:t>
      </w:r>
    </w:p>
    <w:p>
      <w:pPr>
        <w:numPr>
          <w:ilvl w:val="1"/>
          <w:numId w:val="8"/>
        </w:numPr>
      </w:pPr>
      <w:r>
        <w:rPr/>
        <w:t>Recherche systématique d'autres cas</w:t>
      </w:r>
    </w:p>
    <w:p>
      <w:pPr>
        <w:numPr>
          <w:ilvl w:val="1"/>
          <w:numId w:val="8"/>
        </w:numPr>
      </w:pPr>
      <w:r>
        <w:rPr/>
        <w:t>Vérification du statut vaccinal des sujets contacts</w:t>
      </w:r>
    </w:p>
    <w:p>
      <w:pPr>
        <w:numPr>
          <w:ilvl w:val="1"/>
          <w:numId w:val="8"/>
        </w:numPr>
      </w:pPr>
      <w:r>
        <w:rPr/>
        <w:t>Éviction scolaire des cas confirmés pendant 5 j après le début de l'éruption</w:t>
      </w:r>
    </w:p>
    <w:p>
      <w:pPr/>
    </w:p>
    <w:p>
      <w:pPr/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