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RUBÉOLE</w:t>
      </w:r>
    </w:p>
    <w:p>
      <w:pPr>
        <w:numPr>
          <w:ilvl w:val="0"/>
          <w:numId w:val="9"/>
        </w:numPr>
      </w:pPr>
      <w:r>
        <w:rPr/>
        <w:t xml:space="preserve">Agent causal : virus à ARN : </w:t>
      </w:r>
      <w:r>
        <w:rPr/>
        <w:t>ribovirus</w:t>
      </w:r>
    </w:p>
    <w:p>
      <w:pPr>
        <w:numPr>
          <w:ilvl w:val="0"/>
          <w:numId w:val="9"/>
        </w:numPr>
      </w:pPr>
      <w:r>
        <w:rPr/>
        <w:t xml:space="preserve">Transmission directe par voie aérienne (acquise) ou transplacentaire (congénitale) </w:t>
      </w:r>
      <w:r>
        <w:rPr>
          <w:i/>
        </w:rPr>
        <w:t>syndrome de rubéole congénitale</w:t>
      </w:r>
    </w:p>
    <w:p>
      <w:pPr>
        <w:numPr>
          <w:ilvl w:val="0"/>
          <w:numId w:val="9"/>
        </w:numPr>
      </w:pPr>
      <w:r>
        <w:rPr/>
        <w:t>Incubation : 15-21 jours</w:t>
      </w:r>
    </w:p>
    <w:p>
      <w:pPr>
        <w:numPr>
          <w:ilvl w:val="0"/>
          <w:numId w:val="9"/>
        </w:numPr>
      </w:pPr>
      <w:r>
        <w:rPr/>
        <w:t>Immunité durable</w:t>
      </w:r>
    </w:p>
    <w:p>
      <w:pPr>
        <w:numPr>
          <w:ilvl w:val="0"/>
          <w:numId w:val="9"/>
        </w:numPr>
      </w:pPr>
      <w:r>
        <w:rPr/>
        <w:t xml:space="preserve">Si rubéole &lt;18SA : ITG indiqué, car </w:t>
      </w:r>
      <w:r>
        <w:rPr/>
        <w:t>poly malformation</w:t>
      </w:r>
    </w:p>
    <w:p>
      <w:pPr>
        <w:numPr>
          <w:ilvl w:val="0"/>
          <w:numId w:val="9"/>
        </w:numPr>
      </w:pPr>
      <w:r>
        <w:rPr>
          <w:b/>
        </w:rPr>
        <w:t>Contagiosité :</w:t>
      </w:r>
      <w:r>
        <w:rPr>
          <w:b/>
        </w:rPr>
        <w:t xml:space="preserve"> </w:t>
      </w:r>
      <w:r>
        <w:rPr/>
        <w:t>1 semaine avant jusqu'à 2 semaines après le début de l'éruption</w:t>
      </w:r>
    </w:p>
    <w:p>
      <w:pPr>
        <w:numPr>
          <w:ilvl w:val="0"/>
          <w:numId w:val="9"/>
        </w:numPr>
      </w:pPr>
      <w:r>
        <w:rPr/>
        <w:t>Si contamination d'une femme enceinte non immunisée avant 18 SA : syndrome de rubéole congénitale</w:t>
      </w:r>
    </w:p>
    <w:p>
      <w:pPr/>
    </w:p>
    <w:p>
      <w:pPr>
        <w:pStyle w:val="Heading2"/>
        <w:numPr>
          <w:ilvl w:val="0"/>
          <w:numId w:val="58"/>
        </w:numPr>
      </w:pPr>
      <w:r>
        <w:rPr/>
        <w:t>Diagnostic positif</w:t>
      </w:r>
    </w:p>
    <w:p>
      <w:pPr>
        <w:pStyle w:val="Heading3"/>
        <w:numPr>
          <w:ilvl w:val="0"/>
          <w:numId w:val="59"/>
        </w:numPr>
      </w:pPr>
      <w:r>
        <w:rPr/>
        <w:t>Anamnèse</w:t>
      </w:r>
    </w:p>
    <w:p>
      <w:pPr>
        <w:numPr>
          <w:ilvl w:val="1"/>
          <w:numId w:val="10"/>
        </w:numPr>
      </w:pPr>
      <w:r>
        <w:rPr/>
        <w:t>Absence d'antécédent de rubéole ou de vaccin</w:t>
      </w:r>
    </w:p>
    <w:p>
      <w:pPr>
        <w:numPr>
          <w:ilvl w:val="1"/>
          <w:numId w:val="10"/>
        </w:numPr>
      </w:pPr>
      <w:r>
        <w:rPr/>
        <w:t>Contage : 15 à 20j avant l'</w:t>
      </w:r>
      <w:r>
        <w:rPr/>
        <w:t>éruption</w:t>
      </w:r>
      <w:r>
        <w:rPr/>
        <w:t xml:space="preserve"> (</w:t>
      </w:r>
      <w:r>
        <w:rPr>
          <w:i/>
        </w:rPr>
        <w:t xml:space="preserve">éruption quelconque dans l'entourage) </w:t>
      </w:r>
      <w:r>
        <w:rPr>
          <w:i/>
        </w:rPr>
        <w:br/>
      </w:r>
    </w:p>
    <w:p>
      <w:pPr>
        <w:pStyle w:val="Heading3"/>
        <w:numPr>
          <w:ilvl w:val="0"/>
          <w:numId w:val="59"/>
        </w:numPr>
      </w:pPr>
      <w:r>
        <w:rPr/>
        <w:t>Invasion (1 semaine)</w:t>
      </w:r>
      <w:r>
        <w:rPr/>
        <w:t xml:space="preserve"> </w:t>
      </w:r>
    </w:p>
    <w:p>
      <w:pPr>
        <w:numPr>
          <w:ilvl w:val="1"/>
          <w:numId w:val="10"/>
        </w:numPr>
      </w:pPr>
      <w:r>
        <w:rPr/>
        <w:t xml:space="preserve">Fièvre modérée, EG conservée, absence de </w:t>
      </w:r>
      <w:r>
        <w:rPr>
          <w:b/>
        </w:rPr>
        <w:t>catarrhe</w:t>
      </w:r>
    </w:p>
    <w:p>
      <w:pPr>
        <w:numPr>
          <w:ilvl w:val="1"/>
          <w:numId w:val="10"/>
        </w:numPr>
      </w:pPr>
      <w:r>
        <w:rPr/>
        <w:t>Signes associés : céphalées, courbatures (</w:t>
      </w:r>
      <w:r>
        <w:rPr>
          <w:i/>
        </w:rPr>
        <w:t xml:space="preserve">irritabilité), </w:t>
      </w:r>
      <w:r>
        <w:rPr/>
        <w:t>pharyngite</w:t>
      </w:r>
      <w:r>
        <w:rPr/>
        <w:br/>
      </w:r>
    </w:p>
    <w:p>
      <w:pPr>
        <w:pStyle w:val="Heading3"/>
        <w:numPr>
          <w:ilvl w:val="0"/>
          <w:numId w:val="59"/>
        </w:numPr>
      </w:pPr>
      <w:r>
        <w:rPr/>
        <w:t>Phase éruptive</w:t>
      </w:r>
    </w:p>
    <w:p>
      <w:pPr>
        <w:numPr>
          <w:ilvl w:val="1"/>
          <w:numId w:val="10"/>
        </w:numPr>
      </w:pPr>
      <w:r>
        <w:rPr/>
        <w:t>Début : 15-20 jours après le contage</w:t>
      </w:r>
    </w:p>
    <w:p>
      <w:pPr>
        <w:numPr>
          <w:ilvl w:val="1"/>
          <w:numId w:val="10"/>
        </w:numPr>
      </w:pPr>
      <w:r>
        <w:rPr/>
        <w:t xml:space="preserve">Exanthème </w:t>
      </w:r>
      <w:r>
        <w:rPr/>
        <w:t>maculo</w:t>
      </w:r>
      <w:r>
        <w:rPr/>
        <w:t>-papuleux</w:t>
      </w:r>
    </w:p>
    <w:p>
      <w:pPr>
        <w:numPr>
          <w:ilvl w:val="1"/>
          <w:numId w:val="10"/>
        </w:numPr>
      </w:pPr>
      <w:r>
        <w:rPr/>
        <w:t xml:space="preserve">Macules et </w:t>
      </w:r>
      <w:r>
        <w:rPr/>
        <w:t>macropapules</w:t>
      </w:r>
      <w:r>
        <w:rPr/>
        <w:t xml:space="preserve"> plus petites que celles de la rougeole</w:t>
      </w:r>
    </w:p>
    <w:p>
      <w:pPr>
        <w:numPr>
          <w:ilvl w:val="2"/>
          <w:numId w:val="10"/>
        </w:numPr>
      </w:pPr>
      <w:r>
        <w:rPr/>
        <w:t>Face puis extension au thorax</w:t>
      </w:r>
    </w:p>
    <w:p>
      <w:pPr>
        <w:numPr>
          <w:ilvl w:val="2"/>
          <w:numId w:val="10"/>
        </w:numPr>
      </w:pPr>
      <w:r>
        <w:rPr/>
        <w:t xml:space="preserve">Une seule poussée, sur 72 h, puis disparition (fugace) </w:t>
      </w:r>
    </w:p>
    <w:p>
      <w:pPr>
        <w:numPr>
          <w:ilvl w:val="2"/>
          <w:numId w:val="10"/>
        </w:numPr>
      </w:pPr>
      <w:r>
        <w:rPr/>
        <w:t>Fièvre modérée</w:t>
      </w:r>
    </w:p>
    <w:p>
      <w:pPr>
        <w:numPr>
          <w:ilvl w:val="1"/>
          <w:numId w:val="10"/>
        </w:numPr>
      </w:pPr>
      <w:r>
        <w:rPr/>
        <w:t>Parfois : splénomégalie, adénopathies</w:t>
      </w:r>
    </w:p>
    <w:p>
      <w:pPr>
        <w:numPr>
          <w:ilvl w:val="1"/>
          <w:numId w:val="10"/>
        </w:numPr>
      </w:pPr>
      <w:r>
        <w:rPr>
          <w:i/>
        </w:rPr>
        <w:t>Éviter tout contact d'enfant avec une maladie éruptive avec une femme enceinte surtout si non immunisée</w:t>
      </w:r>
      <w:r>
        <w:rPr>
          <w:i/>
        </w:rPr>
        <w:br/>
      </w:r>
    </w:p>
    <w:p>
      <w:pPr>
        <w:pStyle w:val="Heading2"/>
        <w:numPr>
          <w:ilvl w:val="0"/>
          <w:numId w:val="58"/>
        </w:numPr>
      </w:pPr>
      <w:r>
        <w:rPr/>
        <w:t>Complications</w:t>
      </w:r>
      <w:r>
        <w:rPr/>
        <w:t xml:space="preserve"> </w:t>
      </w:r>
    </w:p>
    <w:p>
      <w:pPr>
        <w:numPr>
          <w:ilvl w:val="1"/>
          <w:numId w:val="10"/>
        </w:numPr>
      </w:pPr>
      <w:r>
        <w:rPr/>
        <w:t>Hématologique : purpura thrombopénique post-éruptif</w:t>
      </w:r>
    </w:p>
    <w:p>
      <w:pPr>
        <w:numPr>
          <w:ilvl w:val="1"/>
          <w:numId w:val="10"/>
        </w:numPr>
      </w:pPr>
      <w:r>
        <w:rPr/>
        <w:t xml:space="preserve">Articulaires : arthrites, arthralgies (adulte) </w:t>
      </w:r>
    </w:p>
    <w:p>
      <w:pPr>
        <w:numPr>
          <w:ilvl w:val="1"/>
          <w:numId w:val="10"/>
        </w:numPr>
      </w:pPr>
      <w:r>
        <w:rPr/>
        <w:t>Neurologiques (</w:t>
      </w:r>
      <w:r>
        <w:rPr>
          <w:i/>
        </w:rPr>
        <w:t xml:space="preserve">rare) </w:t>
      </w:r>
      <w:r>
        <w:rPr/>
        <w:t>: encéphalite, méningo-encéphalites</w:t>
      </w:r>
      <w:r>
        <w:rPr/>
        <w:br/>
      </w:r>
    </w:p>
    <w:p>
      <w:pPr>
        <w:pStyle w:val="Heading2"/>
        <w:numPr>
          <w:ilvl w:val="0"/>
          <w:numId w:val="58"/>
        </w:numPr>
      </w:pPr>
      <w:r>
        <w:rPr/>
        <w:t>Examens paracliniques</w:t>
      </w:r>
    </w:p>
    <w:p>
      <w:pPr>
        <w:numPr>
          <w:ilvl w:val="1"/>
          <w:numId w:val="10"/>
        </w:numPr>
      </w:pPr>
      <w:r>
        <w:rPr/>
        <w:t>Diagnostic clinique difficile</w:t>
      </w:r>
    </w:p>
    <w:p>
      <w:pPr>
        <w:numPr>
          <w:ilvl w:val="1"/>
          <w:numId w:val="10"/>
        </w:numPr>
      </w:pPr>
      <w:r>
        <w:rPr/>
        <w:t xml:space="preserve">Indications du dosage des </w:t>
      </w:r>
      <w:r>
        <w:rPr>
          <w:b/>
        </w:rPr>
        <w:t xml:space="preserve">IgM spécifiques sériques </w:t>
      </w:r>
    </w:p>
    <w:p>
      <w:pPr>
        <w:numPr>
          <w:ilvl w:val="2"/>
          <w:numId w:val="10"/>
        </w:numPr>
      </w:pPr>
      <w:r>
        <w:rPr/>
        <w:t xml:space="preserve">En phase aiguë (pendant 2 mois) </w:t>
      </w:r>
    </w:p>
    <w:p>
      <w:pPr>
        <w:numPr>
          <w:ilvl w:val="2"/>
          <w:numId w:val="10"/>
        </w:numPr>
      </w:pPr>
      <w:r>
        <w:rPr/>
        <w:t>Dans les formes atypiques ou compliquées</w:t>
      </w:r>
    </w:p>
    <w:p>
      <w:pPr>
        <w:numPr>
          <w:ilvl w:val="2"/>
          <w:numId w:val="10"/>
        </w:numPr>
      </w:pPr>
      <w:r>
        <w:rPr/>
        <w:t>Contact avec une femme enceinte non immune (</w:t>
      </w:r>
      <w:r>
        <w:rPr>
          <w:i/>
        </w:rPr>
        <w:t xml:space="preserve">chez l'enfant et suivre le statut sérologique de la femme enceinte) </w:t>
      </w:r>
      <w:r>
        <w:rPr>
          <w:i/>
        </w:rPr>
        <w:br/>
      </w:r>
    </w:p>
    <w:p>
      <w:pPr>
        <w:pStyle w:val="Heading2"/>
        <w:numPr>
          <w:ilvl w:val="0"/>
          <w:numId w:val="58"/>
        </w:numPr>
      </w:pPr>
      <w:r>
        <w:rPr/>
        <w:t xml:space="preserve">Mesures thérapeutiques : </w:t>
      </w:r>
      <w:r>
        <w:rPr/>
        <w:t>en ambulatoire, symptomatique (</w:t>
      </w:r>
      <w:r>
        <w:rPr>
          <w:i/>
        </w:rPr>
        <w:t>sans ATB, antipyrétique)</w:t>
      </w:r>
      <w:r>
        <w:rPr>
          <w:i/>
        </w:rPr>
        <w:t xml:space="preserve"> </w:t>
      </w:r>
    </w:p>
    <w:p>
      <w:pPr>
        <w:pStyle w:val="Heading3"/>
      </w:pPr>
      <w:r>
        <w:rPr/>
        <w:t>Mesures préventives :</w:t>
      </w:r>
      <w:r>
        <w:rPr/>
        <w:t xml:space="preserve"> </w:t>
      </w:r>
    </w:p>
    <w:p>
      <w:pPr>
        <w:numPr>
          <w:ilvl w:val="1"/>
          <w:numId w:val="10"/>
        </w:numPr>
      </w:pPr>
      <w:r>
        <w:rPr/>
        <w:t>2 doses de vaccin avant l'âge de 2 ans</w:t>
      </w:r>
    </w:p>
    <w:p>
      <w:pPr>
        <w:numPr>
          <w:ilvl w:val="1"/>
          <w:numId w:val="10"/>
        </w:numPr>
      </w:pPr>
      <w:r>
        <w:rPr/>
        <w:t>Éviter le contact avec la femme enceinte</w:t>
      </w:r>
    </w:p>
    <w:p>
      <w:pPr>
        <w:numPr>
          <w:ilvl w:val="1"/>
          <w:numId w:val="10"/>
        </w:numPr>
      </w:pPr>
      <w:r>
        <w:rPr/>
        <w:t>Éviction scolaire non nécessaire (</w:t>
      </w:r>
      <w:r>
        <w:rPr>
          <w:i/>
        </w:rPr>
        <w:t xml:space="preserve">sauf si enseignante enceinte bien sûr) 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