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SCARLATINE</w:t>
      </w:r>
    </w:p>
    <w:p>
      <w:pPr>
        <w:pStyle w:val="Heading2"/>
      </w:pPr>
      <w:r>
        <w:rPr/>
        <w:t xml:space="preserve">Introduction </w:t>
      </w:r>
    </w:p>
    <w:p>
      <w:pPr>
        <w:numPr>
          <w:ilvl w:val="0"/>
          <w:numId w:val="13"/>
        </w:numPr>
      </w:pPr>
      <w:r>
        <w:rPr/>
        <w:t xml:space="preserve">Infection liée à </w:t>
      </w:r>
      <w:r>
        <w:rPr>
          <w:i/>
        </w:rPr>
        <w:t>Streptococcus pyogenes (</w:t>
      </w:r>
      <w:r>
        <w:rPr/>
        <w:t xml:space="preserve">streptocoque beta-hémolytique du groupe A ou SGA </w:t>
      </w:r>
    </w:p>
    <w:p>
      <w:pPr>
        <w:numPr>
          <w:ilvl w:val="0"/>
          <w:numId w:val="13"/>
        </w:numPr>
      </w:pPr>
      <w:r>
        <w:rPr/>
        <w:t xml:space="preserve">Sécréteur d'une toxine </w:t>
      </w:r>
      <w:r>
        <w:rPr/>
        <w:t>érythrogène</w:t>
      </w:r>
    </w:p>
    <w:p>
      <w:pPr>
        <w:numPr>
          <w:ilvl w:val="0"/>
          <w:numId w:val="13"/>
        </w:numPr>
      </w:pPr>
      <w:r>
        <w:rPr/>
        <w:t>Forme bénigne d'une infection toxinique</w:t>
      </w:r>
    </w:p>
    <w:p>
      <w:pPr>
        <w:numPr>
          <w:ilvl w:val="0"/>
          <w:numId w:val="13"/>
        </w:numPr>
      </w:pPr>
      <w:r>
        <w:rPr/>
        <w:t>Transmission directe par voie aérienne</w:t>
      </w:r>
    </w:p>
    <w:p>
      <w:pPr>
        <w:numPr>
          <w:ilvl w:val="0"/>
          <w:numId w:val="13"/>
        </w:numPr>
      </w:pPr>
      <w:r>
        <w:rPr/>
        <w:t>Incubation : 3-5j</w:t>
      </w:r>
    </w:p>
    <w:p>
      <w:pPr>
        <w:numPr>
          <w:ilvl w:val="0"/>
          <w:numId w:val="13"/>
        </w:numPr>
      </w:pPr>
      <w:r>
        <w:rPr/>
        <w:t>Immunité durable</w:t>
      </w:r>
    </w:p>
    <w:p>
      <w:pPr/>
    </w:p>
    <w:p>
      <w:pPr>
        <w:pStyle w:val="Heading2"/>
        <w:numPr>
          <w:ilvl w:val="0"/>
          <w:numId w:val="62"/>
        </w:numPr>
      </w:pPr>
      <w:r>
        <w:rPr/>
        <w:t>Diagnostic</w:t>
      </w:r>
    </w:p>
    <w:p>
      <w:pPr>
        <w:pStyle w:val="Heading3"/>
        <w:numPr>
          <w:ilvl w:val="0"/>
          <w:numId w:val="63"/>
        </w:numPr>
      </w:pPr>
      <w:r>
        <w:rPr/>
        <w:t>Anamnèse :</w:t>
      </w:r>
    </w:p>
    <w:p>
      <w:pPr>
        <w:numPr>
          <w:ilvl w:val="1"/>
          <w:numId w:val="14"/>
        </w:numPr>
      </w:pPr>
      <w:r>
        <w:rPr/>
        <w:t>Contage de scarlatine ou d'angine à SGA (</w:t>
      </w:r>
      <w:r>
        <w:rPr>
          <w:i/>
        </w:rPr>
        <w:t xml:space="preserve">même gourde, </w:t>
      </w:r>
      <w:r>
        <w:rPr>
          <w:i/>
        </w:rPr>
        <w:t>etc</w:t>
      </w:r>
      <w:r>
        <w:rPr>
          <w:i/>
        </w:rPr>
        <w:t xml:space="preserve">) </w:t>
      </w:r>
      <w:r>
        <w:rPr>
          <w:i/>
        </w:rPr>
        <w:br/>
      </w:r>
    </w:p>
    <w:p>
      <w:pPr>
        <w:pStyle w:val="Heading3"/>
        <w:numPr>
          <w:ilvl w:val="0"/>
          <w:numId w:val="63"/>
        </w:numPr>
      </w:pPr>
      <w:r>
        <w:rPr/>
        <w:t>Invasion (24h)</w:t>
      </w:r>
      <w:r>
        <w:rPr/>
        <w:t xml:space="preserve"> </w:t>
      </w:r>
    </w:p>
    <w:p>
      <w:pPr>
        <w:numPr>
          <w:ilvl w:val="1"/>
          <w:numId w:val="14"/>
        </w:numPr>
      </w:pPr>
      <w:r>
        <w:rPr/>
        <w:t>Fièvre élevée : 39-40°C avec frissons</w:t>
      </w:r>
    </w:p>
    <w:p>
      <w:pPr>
        <w:numPr>
          <w:ilvl w:val="1"/>
          <w:numId w:val="14"/>
        </w:numPr>
      </w:pPr>
      <w:r>
        <w:rPr/>
        <w:t xml:space="preserve">Angine érythémateuse avec dysphagie, tuméfaction amygdalienne importante, douleur </w:t>
      </w:r>
      <w:r>
        <w:rPr/>
        <w:t>abdominale (</w:t>
      </w:r>
      <w:r>
        <w:rPr>
          <w:i/>
        </w:rPr>
        <w:t xml:space="preserve">pas forcément infection digestive : </w:t>
      </w:r>
      <w:r>
        <w:rPr>
          <w:i/>
        </w:rPr>
        <w:t>peut-être</w:t>
      </w:r>
      <w:r>
        <w:rPr>
          <w:i/>
        </w:rPr>
        <w:t xml:space="preserve"> un signe associé à d'autres maladies infectieuses</w:t>
      </w:r>
      <w:r>
        <w:rPr>
          <w:i/>
        </w:rPr>
        <w:t xml:space="preserve">) </w:t>
      </w:r>
      <w:r>
        <w:rPr/>
        <w:t>,</w:t>
      </w:r>
      <w:r>
        <w:rPr/>
        <w:t xml:space="preserve"> vomissements</w:t>
      </w:r>
    </w:p>
    <w:p>
      <w:pPr>
        <w:numPr>
          <w:ilvl w:val="1"/>
          <w:numId w:val="14"/>
        </w:numPr>
      </w:pPr>
      <w:r>
        <w:rPr/>
        <w:t>Adénopathies sous-</w:t>
      </w:r>
      <w:r>
        <w:rPr/>
        <w:t>angulo</w:t>
      </w:r>
      <w:r>
        <w:rPr/>
        <w:t>-maxillaires</w:t>
      </w:r>
      <w:r>
        <w:rPr/>
        <w:br/>
      </w:r>
    </w:p>
    <w:p>
      <w:pPr>
        <w:pStyle w:val="Heading3"/>
        <w:numPr>
          <w:ilvl w:val="0"/>
          <w:numId w:val="63"/>
        </w:numPr>
      </w:pPr>
      <w:r>
        <w:rPr/>
        <w:t>Phase éruptive :</w:t>
      </w:r>
    </w:p>
    <w:p>
      <w:pPr>
        <w:numPr>
          <w:ilvl w:val="1"/>
          <w:numId w:val="14"/>
        </w:numPr>
      </w:pPr>
      <w:r>
        <w:rPr>
          <w:b/>
        </w:rPr>
        <w:t xml:space="preserve">Énanthème : </w:t>
      </w:r>
    </w:p>
    <w:p>
      <w:pPr>
        <w:numPr>
          <w:ilvl w:val="2"/>
          <w:numId w:val="14"/>
        </w:numPr>
      </w:pPr>
      <w:r>
        <w:rPr/>
        <w:t xml:space="preserve">Amygdales tuméfiés et inflammatoires (pendant 4-6J) </w:t>
      </w:r>
    </w:p>
    <w:p>
      <w:pPr>
        <w:numPr>
          <w:ilvl w:val="2"/>
          <w:numId w:val="14"/>
        </w:numPr>
      </w:pPr>
      <w:r>
        <w:rPr/>
        <w:t xml:space="preserve">Glossite </w:t>
      </w:r>
      <w:r>
        <w:rPr>
          <w:i/>
        </w:rPr>
        <w:t xml:space="preserve">(langue saburrale puis </w:t>
      </w:r>
      <w:r>
        <w:rPr>
          <w:i/>
        </w:rPr>
        <w:t>dépapillation</w:t>
      </w:r>
      <w:r>
        <w:rPr>
          <w:i/>
        </w:rPr>
        <w:t xml:space="preserve">) </w:t>
      </w:r>
    </w:p>
    <w:p>
      <w:pPr>
        <w:numPr>
          <w:ilvl w:val="1"/>
          <w:numId w:val="14"/>
        </w:numPr>
      </w:pPr>
      <w:r>
        <w:rPr>
          <w:b/>
        </w:rPr>
        <w:t>Exanthème :</w:t>
      </w:r>
      <w:r>
        <w:rPr/>
        <w:t xml:space="preserve"> vastes nappes, rouges vives, uniformes et congestives </w:t>
      </w:r>
      <w:r>
        <w:rPr>
          <w:b/>
        </w:rPr>
        <w:t xml:space="preserve">sans intervalle de peau saine, </w:t>
      </w:r>
      <w:r>
        <w:rPr/>
        <w:t>aux plis de flexion puis extension</w:t>
      </w:r>
    </w:p>
    <w:p>
      <w:pPr>
        <w:numPr>
          <w:ilvl w:val="1"/>
          <w:numId w:val="14"/>
        </w:numPr>
      </w:pPr>
      <w:r>
        <w:rPr>
          <w:b/>
        </w:rPr>
        <w:t xml:space="preserve">Évolution </w:t>
      </w:r>
      <w:r>
        <w:rPr/>
        <w:t>: disparation à J6, desquamation post-éruptive</w:t>
      </w:r>
    </w:p>
    <w:p>
      <w:pPr>
        <w:pStyle w:val="Heading3"/>
        <w:numPr>
          <w:ilvl w:val="0"/>
          <w:numId w:val="63"/>
        </w:numPr>
      </w:pPr>
      <w:r>
        <w:rPr/>
        <w:t>Complications : rares</w:t>
      </w:r>
    </w:p>
    <w:p>
      <w:pPr>
        <w:pStyle w:val="Heading3"/>
        <w:numPr>
          <w:ilvl w:val="0"/>
          <w:numId w:val="63"/>
        </w:numPr>
      </w:pPr>
      <w:r>
        <w:rPr/>
        <w:t>Paracliniques</w:t>
      </w:r>
    </w:p>
    <w:p>
      <w:pPr>
        <w:numPr>
          <w:ilvl w:val="1"/>
          <w:numId w:val="14"/>
        </w:numPr>
      </w:pPr>
      <w:r>
        <w:rPr/>
        <w:t>Formes typiques</w:t>
      </w:r>
      <w:r>
        <w:rPr/>
        <w:t xml:space="preserve"> : diagnostic clinique</w:t>
      </w:r>
    </w:p>
    <w:p>
      <w:pPr>
        <w:numPr>
          <w:ilvl w:val="1"/>
          <w:numId w:val="14"/>
        </w:numPr>
      </w:pPr>
      <w:r>
        <w:rPr/>
        <w:t>TDR streptocoque</w:t>
      </w:r>
      <w:r>
        <w:rPr/>
        <w:t xml:space="preserve"> A avant antibiothérapie</w:t>
      </w:r>
      <w:r>
        <w:rPr/>
        <w:br/>
      </w:r>
    </w:p>
    <w:p>
      <w:pPr>
        <w:pStyle w:val="Heading2"/>
        <w:numPr>
          <w:ilvl w:val="0"/>
          <w:numId w:val="62"/>
        </w:numPr>
      </w:pPr>
      <w:r>
        <w:rPr/>
        <w:t>Traitement en ambulatoire</w:t>
      </w:r>
    </w:p>
    <w:p>
      <w:pPr>
        <w:numPr>
          <w:ilvl w:val="1"/>
          <w:numId w:val="14"/>
        </w:numPr>
      </w:pPr>
      <w:r>
        <w:rPr/>
        <w:t>Amoxicilline 50mg/kg/j en 2 prises pendant 6j (</w:t>
      </w:r>
      <w:r>
        <w:rPr>
          <w:i/>
        </w:rPr>
        <w:t>sirop+++à</w:t>
      </w:r>
      <w:r>
        <w:rPr>
          <w:i/>
        </w:rPr>
        <w:br/>
      </w:r>
    </w:p>
    <w:p>
      <w:pPr>
        <w:pStyle w:val="Heading3"/>
      </w:pPr>
      <w:r>
        <w:rPr/>
        <w:t>Prévention</w:t>
      </w:r>
    </w:p>
    <w:p>
      <w:pPr>
        <w:numPr>
          <w:ilvl w:val="1"/>
          <w:numId w:val="14"/>
        </w:numPr>
      </w:pPr>
      <w:r>
        <w:rPr/>
        <w:t>Éviction de collectivité jusqu'à 48h après le début de l'antibiothérapie</w:t>
      </w:r>
    </w:p>
    <w:p>
      <w:pPr>
        <w:numPr>
          <w:ilvl w:val="1"/>
          <w:numId w:val="14"/>
        </w:numPr>
      </w:pPr>
      <w:r>
        <w:rPr/>
        <w:t>Absence de vaccin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