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VACCINATION CHEZ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1"/>
        </w:numPr>
      </w:pPr>
      <w:r>
        <w:rPr/>
        <w:t>Décrire les différents types de vaccins et en citer des exemples</w:t>
      </w:r>
    </w:p>
    <w:p>
      <w:pPr>
        <w:numPr>
          <w:ilvl w:val="0"/>
          <w:numId w:val="21"/>
        </w:numPr>
      </w:pPr>
      <w:r>
        <w:rPr/>
        <w:t>Décrire les différentes composantes d'un vaccin</w:t>
      </w:r>
    </w:p>
    <w:p>
      <w:pPr>
        <w:numPr>
          <w:ilvl w:val="0"/>
          <w:numId w:val="21"/>
        </w:numPr>
      </w:pPr>
      <w:r>
        <w:rPr/>
        <w:t>Poser l'indication d'un vaccin selon le groupe d'individu</w:t>
      </w:r>
    </w:p>
    <w:p>
      <w:pPr>
        <w:numPr>
          <w:ilvl w:val="0"/>
          <w:numId w:val="21"/>
        </w:numPr>
      </w:pPr>
      <w:r>
        <w:rPr/>
        <w:t>Citer les 5 catégories de MAPI (</w:t>
      </w:r>
      <w:r>
        <w:rPr>
          <w:i/>
        </w:rPr>
        <w:t xml:space="preserve">manifestation aigue post immunisation) </w:t>
      </w:r>
    </w:p>
    <w:p>
      <w:pPr>
        <w:numPr>
          <w:ilvl w:val="0"/>
          <w:numId w:val="21"/>
        </w:numPr>
      </w:pPr>
      <w:r>
        <w:rPr/>
        <w:t>Décrire le PEV à Madagascar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2"/>
        </w:numPr>
      </w:pPr>
      <w:r>
        <w:rPr/>
        <w:t xml:space="preserve">Vaccins = préparations contenant des </w:t>
      </w:r>
      <w:r>
        <w:rPr>
          <w:b/>
        </w:rPr>
        <w:t>substances antigéniques</w:t>
      </w:r>
      <w:r>
        <w:rPr/>
        <w:t xml:space="preserve"> destinées à induire chez le sujet une </w:t>
      </w:r>
      <w:r>
        <w:rPr>
          <w:b/>
        </w:rPr>
        <w:t xml:space="preserve">immunité active et spécifique </w:t>
      </w:r>
      <w:r>
        <w:rPr/>
        <w:t>contre un agent infectieux donné</w:t>
      </w:r>
    </w:p>
    <w:p>
      <w:pPr>
        <w:numPr>
          <w:ilvl w:val="0"/>
          <w:numId w:val="22"/>
        </w:numPr>
      </w:pPr>
      <w:r>
        <w:rPr/>
        <w:t>Objectif : PRÉVENIR LA SURVENUE D'UNE MALADIE ou DIMINUER LE RISQUE DE FORME GRAVE</w:t>
      </w:r>
    </w:p>
    <w:p>
      <w:pPr>
        <w:numPr>
          <w:ilvl w:val="0"/>
          <w:numId w:val="22"/>
        </w:numPr>
      </w:pPr>
      <w:r>
        <w:rPr/>
        <w:t xml:space="preserve">Vaccination = </w:t>
      </w:r>
      <w:r>
        <w:rPr>
          <w:b/>
        </w:rPr>
        <w:t xml:space="preserve">immunoprophylaxie active </w:t>
      </w:r>
      <w:r>
        <w:rPr/>
        <w:t>ayant pour but d'induire une réponse immunitaire spécifique, capable d'éviter la survenue de la maladie ou d'en atténuer les manifestations cliniques</w:t>
      </w:r>
    </w:p>
    <w:p>
      <w:pPr/>
    </w:p>
    <w:p>
      <w:pPr>
        <w:pStyle w:val="Heading2"/>
        <w:numPr>
          <w:ilvl w:val="0"/>
          <w:numId w:val="63"/>
        </w:numPr>
      </w:pPr>
      <w:r>
        <w:rPr/>
        <w:t>PRINCIPES DE LA VACCINATION</w:t>
      </w:r>
    </w:p>
    <w:p>
      <w:pPr>
        <w:pStyle w:val="Heading3"/>
        <w:numPr>
          <w:ilvl w:val="0"/>
          <w:numId w:val="64"/>
        </w:numPr>
      </w:pPr>
      <w:r>
        <w:rPr/>
        <w:t>Immunité</w:t>
      </w:r>
      <w:r>
        <w:rPr/>
        <w:t xml:space="preserve"> </w:t>
      </w:r>
    </w:p>
    <w:p>
      <w:pPr>
        <w:numPr>
          <w:ilvl w:val="1"/>
          <w:numId w:val="23"/>
        </w:numPr>
      </w:pPr>
      <w:r>
        <w:rPr/>
        <w:t xml:space="preserve">Aptitude du corps humain à tolérer la présence d'un élément "faisant partie" de "corps" humain et à éliminer un élément "étranger" </w:t>
      </w:r>
    </w:p>
    <w:p>
      <w:pPr>
        <w:numPr>
          <w:ilvl w:val="1"/>
          <w:numId w:val="23"/>
        </w:numPr>
      </w:pPr>
      <w:r>
        <w:rPr/>
        <w:t xml:space="preserve">Se traduit par la présence d'un </w:t>
      </w:r>
      <w:r>
        <w:rPr/>
        <w:t>Ac</w:t>
      </w:r>
      <w:r>
        <w:rPr/>
        <w:t xml:space="preserve"> dirigé contre l'Ag ou l'immunogène</w:t>
      </w:r>
    </w:p>
    <w:p>
      <w:pPr>
        <w:pStyle w:val="Heading3"/>
        <w:numPr>
          <w:ilvl w:val="0"/>
          <w:numId w:val="64"/>
        </w:numPr>
      </w:pPr>
      <w:r>
        <w:rPr/>
        <w:t>Immunité active</w:t>
      </w:r>
    </w:p>
    <w:p>
      <w:pPr>
        <w:numPr>
          <w:ilvl w:val="1"/>
          <w:numId w:val="23"/>
        </w:numPr>
      </w:pPr>
      <w:r>
        <w:rPr/>
        <w:t>Stimulation du système immunitaire conduisant à une immunité humorale spécifique de l'Ag et une immunité cellulaire</w:t>
      </w:r>
    </w:p>
    <w:p>
      <w:pPr>
        <w:numPr>
          <w:ilvl w:val="1"/>
          <w:numId w:val="23"/>
        </w:numPr>
      </w:pPr>
      <w:r>
        <w:rPr/>
        <w:t xml:space="preserve">Dure plusieurs années : en cas de nouvelle exposition au même Ag, les cellules mémoires commencent à se diviser et à </w:t>
      </w:r>
      <w:r>
        <w:rPr>
          <w:b/>
        </w:rPr>
        <w:t xml:space="preserve">produire très rapidement des </w:t>
      </w:r>
      <w:r>
        <w:rPr>
          <w:b/>
        </w:rPr>
        <w:t>Ac</w:t>
      </w:r>
      <w:r>
        <w:rPr>
          <w:b/>
        </w:rPr>
        <w:t xml:space="preserve"> </w:t>
      </w:r>
      <w:r>
        <w:rPr/>
        <w:t>pour rétablir la protection</w:t>
      </w:r>
    </w:p>
    <w:p>
      <w:pPr>
        <w:pStyle w:val="Heading3"/>
        <w:numPr>
          <w:ilvl w:val="0"/>
          <w:numId w:val="64"/>
        </w:numPr>
      </w:pPr>
      <w:r>
        <w:rPr/>
        <w:t xml:space="preserve">Facteurs </w:t>
      </w:r>
      <w:r>
        <w:rPr/>
        <w:t>influençant</w:t>
      </w:r>
      <w:r>
        <w:rPr/>
        <w:t xml:space="preserve"> la réponse immunitaire à la vaccination :</w:t>
      </w:r>
    </w:p>
    <w:p>
      <w:pPr>
        <w:numPr>
          <w:ilvl w:val="1"/>
          <w:numId w:val="23"/>
        </w:numPr>
      </w:pPr>
      <w:r>
        <w:rPr/>
        <w:t>La présence d'Ac maternels (</w:t>
      </w:r>
      <w:r>
        <w:rPr>
          <w:i/>
        </w:rPr>
        <w:t>s’il</w:t>
      </w:r>
      <w:r>
        <w:rPr>
          <w:i/>
        </w:rPr>
        <w:t xml:space="preserve"> y a encore des </w:t>
      </w:r>
      <w:r>
        <w:rPr>
          <w:i/>
        </w:rPr>
        <w:t>Ac</w:t>
      </w:r>
      <w:r>
        <w:rPr>
          <w:i/>
        </w:rPr>
        <w:t xml:space="preserve"> maternels, la vaccination est inefficace) </w:t>
      </w:r>
    </w:p>
    <w:p>
      <w:pPr>
        <w:numPr>
          <w:ilvl w:val="1"/>
          <w:numId w:val="23"/>
        </w:numPr>
      </w:pPr>
      <w:r>
        <w:rPr/>
        <w:t>La nature de l'Ag, la dose, la voie d'administration et l'adjuvant</w:t>
      </w:r>
    </w:p>
    <w:p>
      <w:pPr>
        <w:numPr>
          <w:ilvl w:val="1"/>
          <w:numId w:val="23"/>
        </w:numPr>
      </w:pPr>
      <w:r>
        <w:rPr/>
        <w:t>Les facteurs liés à l'hôte : âge, facteurs nutritionnels, génétiques, coexistence de maladie</w:t>
      </w:r>
    </w:p>
    <w:p>
      <w:pPr>
        <w:pStyle w:val="Heading3"/>
        <w:numPr>
          <w:ilvl w:val="0"/>
          <w:numId w:val="64"/>
        </w:numPr>
      </w:pPr>
      <w:r>
        <w:rPr/>
        <w:t xml:space="preserve">Immunité </w:t>
      </w:r>
      <w:r>
        <w:rPr/>
        <w:t>passive :</w:t>
      </w:r>
      <w:r>
        <w:rPr/>
        <w:t xml:space="preserve"> </w:t>
      </w:r>
    </w:p>
    <w:p>
      <w:pPr>
        <w:numPr>
          <w:ilvl w:val="1"/>
          <w:numId w:val="23"/>
        </w:numPr>
      </w:pPr>
      <w:r>
        <w:rPr/>
        <w:t xml:space="preserve">Transfert d'un </w:t>
      </w:r>
      <w:r>
        <w:rPr/>
        <w:t>Ac</w:t>
      </w:r>
      <w:r>
        <w:rPr/>
        <w:t xml:space="preserve"> produit par un être humain ou un animal à un autre</w:t>
      </w:r>
    </w:p>
    <w:p>
      <w:pPr>
        <w:numPr>
          <w:ilvl w:val="1"/>
          <w:numId w:val="23"/>
        </w:numPr>
      </w:pPr>
      <w:r>
        <w:rPr/>
        <w:t>Peut-être</w:t>
      </w:r>
      <w:r>
        <w:rPr/>
        <w:t xml:space="preserve"> naturelle (mère à l'enfant) ou artificiel</w:t>
      </w:r>
    </w:p>
    <w:p>
      <w:pPr>
        <w:numPr>
          <w:ilvl w:val="1"/>
          <w:numId w:val="23"/>
        </w:numPr>
      </w:pPr>
      <w:r>
        <w:rPr/>
        <w:t>Protection temporaire contre l'infection</w:t>
      </w:r>
    </w:p>
    <w:p>
      <w:pPr>
        <w:pStyle w:val="Heading3"/>
        <w:numPr>
          <w:ilvl w:val="0"/>
          <w:numId w:val="64"/>
        </w:numPr>
      </w:pPr>
      <w:r>
        <w:rPr/>
        <w:t>Immunité collective :</w:t>
      </w:r>
    </w:p>
    <w:p>
      <w:pPr>
        <w:numPr>
          <w:ilvl w:val="1"/>
          <w:numId w:val="23"/>
        </w:numPr>
      </w:pPr>
      <w:r>
        <w:rPr/>
        <w:t>Immunité qui apparait lorsqu'une population vaccinée confère une protection à des individus non protégés</w:t>
      </w:r>
    </w:p>
    <w:p>
      <w:pPr>
        <w:numPr>
          <w:ilvl w:val="1"/>
          <w:numId w:val="23"/>
        </w:numPr>
      </w:pPr>
      <w:r>
        <w:rPr/>
      </w:r>
      <w:r>
        <w:rPr/>
      </w:r>
      <w:r>
        <w:rPr/>
      </w:r>
      <w:r>
        <w:rPr/>
        <w:t>Plus la proportion d'individus immunisés est élevée dans une population, moindre est la probabilité qu'une personne sensible entre en contact avec un agent infectieux</w:t>
      </w:r>
    </w:p>
    <w:p>
      <w:pPr/>
    </w:p>
    <w:p>
      <w:pPr>
        <w:pStyle w:val="Heading2"/>
        <w:numPr>
          <w:ilvl w:val="0"/>
          <w:numId w:val="63"/>
        </w:numPr>
      </w:pPr>
      <w:r>
        <w:rPr/>
        <w:t>BASES IMMUNOLOGIQUES DE LA VACCINATION</w:t>
      </w:r>
    </w:p>
    <w:p>
      <w:pPr>
        <w:numPr>
          <w:ilvl w:val="0"/>
          <w:numId w:val="24"/>
        </w:numPr>
      </w:pPr>
      <w:r>
        <w:rPr/>
        <w:t xml:space="preserve">La vaccination joue sur la </w:t>
      </w:r>
      <w:r>
        <w:rPr>
          <w:b/>
        </w:rPr>
        <w:t>mémoire immunitaire</w:t>
      </w:r>
    </w:p>
    <w:p>
      <w:pPr>
        <w:numPr>
          <w:ilvl w:val="0"/>
          <w:numId w:val="24"/>
        </w:numPr>
      </w:pPr>
      <w:r>
        <w:rPr/>
        <w:t>Son efficacité dépend de :</w:t>
      </w:r>
    </w:p>
    <w:p>
      <w:pPr>
        <w:numPr>
          <w:ilvl w:val="1"/>
          <w:numId w:val="24"/>
        </w:numPr>
      </w:pPr>
      <w:r>
        <w:rPr/>
        <w:t>La réceptivité de l'hôte à l'immunogène</w:t>
      </w:r>
    </w:p>
    <w:p>
      <w:pPr>
        <w:numPr>
          <w:ilvl w:val="1"/>
          <w:numId w:val="24"/>
        </w:numPr>
      </w:pPr>
      <w:r>
        <w:rPr/>
        <w:t>Sa capacité à stimuler les moyens de défense de l'organisme</w:t>
      </w:r>
    </w:p>
    <w:p>
      <w:pPr>
        <w:numPr>
          <w:ilvl w:val="1"/>
          <w:numId w:val="24"/>
        </w:numPr>
      </w:pPr>
      <w:r>
        <w:rPr/>
        <w:t>L'adaptation de la réponse à neutraliser l'agent infectieux</w:t>
      </w:r>
    </w:p>
    <w:p>
      <w:pPr>
        <w:numPr>
          <w:ilvl w:val="0"/>
          <w:numId w:val="24"/>
        </w:numPr>
      </w:pPr>
      <w:r>
        <w:rPr/>
        <w:t>Elle induit 2 éléments contribuant à la défense :</w:t>
      </w:r>
    </w:p>
    <w:p>
      <w:pPr>
        <w:numPr>
          <w:ilvl w:val="1"/>
          <w:numId w:val="24"/>
        </w:numPr>
      </w:pPr>
      <w:r>
        <w:rPr>
          <w:b/>
        </w:rPr>
        <w:t xml:space="preserve">Immunité humorale </w:t>
      </w:r>
      <w:r>
        <w:rPr/>
        <w:t xml:space="preserve">: les anticorps qui neutralisent les toxines ou agents pathogènes ou favorisent la phagocytose </w:t>
      </w:r>
    </w:p>
    <w:p>
      <w:pPr>
        <w:numPr>
          <w:ilvl w:val="1"/>
          <w:numId w:val="24"/>
        </w:numPr>
      </w:pPr>
      <w:r>
        <w:rPr>
          <w:b/>
        </w:rPr>
        <w:t xml:space="preserve">Immunité cellulaire : </w:t>
      </w:r>
      <w:r>
        <w:rPr/>
        <w:t>les cellules T cytotoxiques qui vont détruire les cellules infectées</w:t>
      </w:r>
    </w:p>
    <w:p>
      <w:pPr>
        <w:numPr>
          <w:ilvl w:val="0"/>
          <w:numId w:val="24"/>
        </w:numPr>
      </w:pPr>
      <w:r>
        <w:rPr>
          <w:b/>
          <w:u w:val="single"/>
        </w:rPr>
        <w:t>Analyse de la réponse immune</w:t>
      </w:r>
      <w:r>
        <w:rPr/>
        <w:t xml:space="preserve"> :</w:t>
      </w:r>
    </w:p>
    <w:p>
      <w:pPr>
        <w:numPr>
          <w:ilvl w:val="1"/>
          <w:numId w:val="24"/>
        </w:numPr>
      </w:pPr>
      <w:r>
        <w:rPr>
          <w:b/>
          <w:u w:val="single"/>
        </w:rPr>
        <w:t>Anticorps</w:t>
      </w:r>
    </w:p>
    <w:p>
      <w:pPr>
        <w:numPr>
          <w:ilvl w:val="2"/>
          <w:numId w:val="24"/>
        </w:numPr>
      </w:pPr>
      <w:r>
        <w:rPr/>
        <w:t>Introduction de vaccin (Ag)-</w:t>
      </w:r>
      <w:r>
        <w:rPr/>
      </w:r>
      <w:r>
        <w:rPr/>
        <w:t xml:space="preserve"> Production </w:t>
      </w:r>
      <w:r>
        <w:rPr/>
        <w:t xml:space="preserve">d' </w:t>
      </w:r>
      <w:r>
        <w:rPr/>
        <w:t>Ac</w:t>
      </w:r>
      <w:r>
        <w:rPr/>
        <w:t xml:space="preserve"> protecteurs par les plasmocytes et lymphocytes B après succession de réactions cellulaires et tissulaires</w:t>
      </w:r>
    </w:p>
    <w:p>
      <w:pPr>
        <w:numPr>
          <w:ilvl w:val="2"/>
          <w:numId w:val="24"/>
        </w:numPr>
      </w:pPr>
      <w:r>
        <w:rPr/>
        <w:t>Immunité humorale transférable par le sérum : permet le dosage du titre d'Ac en pratique</w:t>
      </w:r>
    </w:p>
    <w:p>
      <w:pPr>
        <w:numPr>
          <w:ilvl w:val="1"/>
          <w:numId w:val="24"/>
        </w:numPr>
      </w:pPr>
      <w:r>
        <w:rPr/>
        <w:t>Mécanismes de neutralisation des effets pathogènes de l'agent infectieux :</w:t>
      </w:r>
    </w:p>
    <w:p>
      <w:pPr>
        <w:numPr>
          <w:ilvl w:val="2"/>
          <w:numId w:val="24"/>
        </w:numPr>
      </w:pPr>
      <w:r>
        <w:rPr/>
        <w:t>Rôle sur les épitopes essentiels à l'expression du pouvoir pathogène</w:t>
      </w:r>
    </w:p>
    <w:p>
      <w:pPr>
        <w:numPr>
          <w:ilvl w:val="2"/>
          <w:numId w:val="24"/>
        </w:numPr>
      </w:pPr>
      <w:r>
        <w:rPr/>
        <w:t xml:space="preserve">Association au complément pour agglutiner et lyser les cellules infectées par les agents à développement intracellulaire (virus) </w:t>
      </w:r>
    </w:p>
    <w:p>
      <w:pPr>
        <w:numPr>
          <w:ilvl w:val="0"/>
          <w:numId w:val="24"/>
        </w:numPr>
      </w:pPr>
      <w:r>
        <w:rPr>
          <w:b/>
        </w:rPr>
        <w:t>Phénomène de rappel</w:t>
      </w:r>
    </w:p>
    <w:p>
      <w:pPr>
        <w:numPr>
          <w:ilvl w:val="1"/>
          <w:numId w:val="24"/>
        </w:numPr>
      </w:pPr>
      <w:r>
        <w:rPr>
          <w:b/>
        </w:rPr>
        <w:t>Réponse primaire :</w:t>
      </w:r>
    </w:p>
    <w:p>
      <w:pPr>
        <w:numPr>
          <w:ilvl w:val="2"/>
          <w:numId w:val="24"/>
        </w:numPr>
      </w:pPr>
      <w:r>
        <w:rPr/>
        <w:t>Observée après la primo-vaccination</w:t>
      </w:r>
    </w:p>
    <w:p>
      <w:pPr>
        <w:numPr>
          <w:ilvl w:val="2"/>
          <w:numId w:val="24"/>
        </w:numPr>
      </w:pPr>
      <w:r>
        <w:rPr/>
        <w:t xml:space="preserve">Ascension différée et lente des </w:t>
      </w:r>
      <w:r>
        <w:rPr/>
        <w:t>Ac</w:t>
      </w:r>
      <w:r>
        <w:rPr/>
        <w:t xml:space="preserve"> (</w:t>
      </w:r>
      <w:r>
        <w:rPr>
          <w:b/>
        </w:rPr>
        <w:t>IgM+++</w:t>
      </w:r>
      <w:r>
        <w:rPr/>
        <w:t>) puis décroissance rapide</w:t>
      </w:r>
    </w:p>
    <w:p>
      <w:pPr>
        <w:numPr>
          <w:ilvl w:val="2"/>
          <w:numId w:val="24"/>
        </w:numPr>
      </w:pPr>
      <w:r>
        <w:rPr/>
        <w:t>Peu spécifique</w:t>
      </w:r>
    </w:p>
    <w:p>
      <w:pPr>
        <w:numPr>
          <w:ilvl w:val="1"/>
          <w:numId w:val="24"/>
        </w:numPr>
      </w:pPr>
      <w:r>
        <w:rPr>
          <w:b/>
        </w:rPr>
        <w:t>Réponse secondaire</w:t>
      </w:r>
    </w:p>
    <w:p>
      <w:pPr>
        <w:numPr>
          <w:ilvl w:val="2"/>
          <w:numId w:val="24"/>
        </w:numPr>
      </w:pPr>
      <w:r>
        <w:rPr/>
        <w:t>Observée après une nouvelle injection rapprochée</w:t>
      </w:r>
    </w:p>
    <w:p>
      <w:pPr>
        <w:numPr>
          <w:ilvl w:val="2"/>
          <w:numId w:val="24"/>
        </w:numPr>
      </w:pPr>
      <w:r>
        <w:rPr/>
        <w:t xml:space="preserve">Ascension rapide, importante et durable des </w:t>
      </w:r>
      <w:r>
        <w:rPr/>
        <w:t>Ac</w:t>
      </w:r>
      <w:r>
        <w:rPr/>
        <w:t xml:space="preserve"> (</w:t>
      </w:r>
      <w:r>
        <w:rPr>
          <w:b/>
        </w:rPr>
        <w:t>IgG</w:t>
      </w:r>
      <w:r>
        <w:rPr/>
        <w:t xml:space="preserve">) </w:t>
      </w:r>
    </w:p>
    <w:p>
      <w:pPr>
        <w:numPr>
          <w:ilvl w:val="2"/>
          <w:numId w:val="24"/>
        </w:numPr>
      </w:pPr>
      <w:r>
        <w:rPr/>
        <w:t>Spécifique et intensifiée</w:t>
      </w:r>
    </w:p>
    <w:p>
      <w:pPr>
        <w:pStyle w:val="Heading2"/>
        <w:numPr>
          <w:ilvl w:val="0"/>
          <w:numId w:val="63"/>
        </w:numPr>
      </w:pPr>
      <w:r>
        <w:rPr/>
        <w:t>CLASSIFICATION DES VACCINS</w:t>
      </w:r>
    </w:p>
    <w:p>
      <w:pPr>
        <w:numPr>
          <w:ilvl w:val="0"/>
          <w:numId w:val="25"/>
        </w:numPr>
      </w:pPr>
      <w:r>
        <w:rPr/>
        <w:t>Un vaccin est composé de :</w:t>
      </w:r>
    </w:p>
    <w:p>
      <w:pPr>
        <w:numPr>
          <w:ilvl w:val="1"/>
          <w:numId w:val="25"/>
        </w:numPr>
      </w:pPr>
      <w:r>
        <w:rPr/>
        <w:t xml:space="preserve">L'immunogène spécifique </w:t>
      </w:r>
    </w:p>
    <w:p>
      <w:pPr>
        <w:numPr>
          <w:ilvl w:val="1"/>
          <w:numId w:val="25"/>
        </w:numPr>
      </w:pPr>
      <w:r>
        <w:rPr/>
        <w:t>Un ou plusieurs excipients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61"/>
          </w:tcPr>
          <w:p/>
          <w:p>
            <w:pPr/>
            <w:r>
              <w:rPr/>
              <w:t>Classe</w:t>
            </w:r>
          </w:p>
        </w:tc>
        <w:tc>
          <w:tcPr>
            <w:tcW w:type="dxa" w:w="4261"/>
          </w:tcPr>
          <w:p/>
          <w:p>
            <w:pPr/>
            <w:r>
              <w:rPr/>
              <w:t>Type</w:t>
            </w:r>
          </w:p>
        </w:tc>
      </w:tr>
      <w:tr>
        <w:tc>
          <w:tcPr>
            <w:tcW w:type="dxa" w:w="4261"/>
          </w:tcPr>
          <w:p/>
          <w:p>
            <w:pPr/>
            <w:r>
              <w:rPr/>
              <w:t xml:space="preserve">Vaccins vivants atténués (VVA) </w:t>
            </w:r>
          </w:p>
        </w:tc>
        <w:tc>
          <w:tcPr>
            <w:tcW w:type="dxa" w:w="4261"/>
          </w:tcPr>
          <w:p/>
          <w:p>
            <w:pPr>
              <w:numPr>
                <w:ilvl w:val="0"/>
                <w:numId w:val="26"/>
              </w:numPr>
            </w:pPr>
            <w:r>
              <w:rPr/>
              <w:t>Bactérie : vaccin BCG</w:t>
            </w:r>
          </w:p>
          <w:p>
            <w:pPr>
              <w:numPr>
                <w:ilvl w:val="0"/>
                <w:numId w:val="26"/>
              </w:numPr>
            </w:pPr>
            <w:r>
              <w:rPr/>
              <w:t xml:space="preserve">Virus: vaccin antipoliomyélite oral (VPO), vaccin antirougeoleux, antiourlien, </w:t>
            </w:r>
            <w:r>
              <w:rPr/>
              <w:t>antirotavirus, antiamaril, vaccin de l'encéphalite japonaise inactivé</w:t>
            </w:r>
          </w:p>
        </w:tc>
      </w:tr>
      <w:tr>
        <w:tc>
          <w:tcPr>
            <w:tcW w:type="dxa" w:w="4261"/>
          </w:tcPr>
          <w:p/>
          <w:p>
            <w:pPr/>
            <w:r>
              <w:rPr/>
              <w:t xml:space="preserve">Vaccins inactivés (antigènes tués) </w:t>
            </w:r>
          </w:p>
        </w:tc>
        <w:tc>
          <w:tcPr>
            <w:tcW w:type="dxa" w:w="4261"/>
          </w:tcPr>
          <w:p/>
          <w:p>
            <w:pPr>
              <w:numPr>
                <w:ilvl w:val="0"/>
                <w:numId w:val="27"/>
              </w:numPr>
            </w:pPr>
            <w:r>
              <w:rPr/>
              <w:t>Bactérie : anticoquelucheux à cellules entières</w:t>
            </w:r>
          </w:p>
          <w:p>
            <w:pPr>
              <w:numPr>
                <w:ilvl w:val="0"/>
                <w:numId w:val="27"/>
              </w:numPr>
            </w:pPr>
            <w:r>
              <w:rPr/>
              <w:t xml:space="preserve">Virus : vaccin antipoliomyélite inactivé (VPI) </w:t>
            </w:r>
          </w:p>
        </w:tc>
      </w:tr>
      <w:tr>
        <w:tc>
          <w:tcPr>
            <w:tcW w:type="dxa" w:w="4261"/>
          </w:tcPr>
          <w:p/>
          <w:p>
            <w:pPr/>
            <w:r>
              <w:rPr/>
              <w:t>Anatoxines</w:t>
            </w:r>
          </w:p>
        </w:tc>
        <w:tc>
          <w:tcPr>
            <w:tcW w:type="dxa" w:w="4261"/>
          </w:tcPr>
          <w:p/>
          <w:p>
            <w:pPr>
              <w:numPr>
                <w:ilvl w:val="0"/>
                <w:numId w:val="28"/>
              </w:numPr>
            </w:pPr>
            <w:r>
              <w:rPr/>
              <w:t>Anatoxine tétanique, anatoxine diphtérique</w:t>
            </w:r>
          </w:p>
        </w:tc>
      </w:tr>
      <w:tr>
        <w:tc>
          <w:tcPr>
            <w:tcW w:type="dxa" w:w="4261"/>
          </w:tcPr>
          <w:p/>
          <w:p>
            <w:pPr/>
            <w:r>
              <w:rPr/>
              <w:t xml:space="preserve">Sous-unitaires (antigènes purifiés) </w:t>
            </w:r>
          </w:p>
        </w:tc>
        <w:tc>
          <w:tcPr>
            <w:tcW w:type="dxa" w:w="4261"/>
          </w:tcPr>
          <w:p/>
          <w:p>
            <w:pPr>
              <w:numPr>
                <w:ilvl w:val="0"/>
                <w:numId w:val="25"/>
              </w:numPr>
            </w:pPr>
            <w:r>
              <w:rPr/>
              <w:t>Protéiques : anti-hépatite B, anticoquelucheux acellulaire</w:t>
            </w:r>
          </w:p>
          <w:p>
            <w:pPr>
              <w:numPr>
                <w:ilvl w:val="0"/>
                <w:numId w:val="25"/>
              </w:numPr>
            </w:pPr>
            <w:r>
              <w:rPr/>
              <w:t>Polysaccharidiques :antiméningococcique, antipneumococcique, antityphoïdique Vi</w:t>
            </w:r>
          </w:p>
          <w:p>
            <w:pPr>
              <w:numPr>
                <w:ilvl w:val="0"/>
                <w:numId w:val="25"/>
              </w:numPr>
            </w:pPr>
            <w:r>
              <w:rPr/>
              <w:t>Conjugué : anti-Hib, antiméningococcique A et B, PCV7, PCV10, PCV13</w:t>
            </w:r>
          </w:p>
        </w:tc>
      </w:tr>
    </w:tbl>
    <w:p>
      <w:pPr/>
    </w:p>
    <w:p>
      <w:pPr>
        <w:pStyle w:val="Heading3"/>
        <w:numPr>
          <w:ilvl w:val="0"/>
          <w:numId w:val="65"/>
        </w:numPr>
      </w:pPr>
      <w:r>
        <w:rPr/>
        <w:t xml:space="preserve">Vaccins vivants </w:t>
      </w:r>
      <w:r>
        <w:rPr/>
        <w:t>atténués :</w:t>
      </w:r>
      <w:r>
        <w:rPr/>
        <w:t xml:space="preserve"> </w:t>
      </w:r>
    </w:p>
    <w:p>
      <w:pPr>
        <w:numPr>
          <w:ilvl w:val="1"/>
          <w:numId w:val="29"/>
        </w:numPr>
      </w:pPr>
      <w:r>
        <w:rPr/>
        <w:t>Dérivés de virus ou bactéries "sauvages" ou pathogènes atténués ou affaiblis en laboratoire</w:t>
      </w:r>
    </w:p>
    <w:p>
      <w:pPr>
        <w:numPr>
          <w:ilvl w:val="1"/>
          <w:numId w:val="29"/>
        </w:numPr>
      </w:pPr>
      <w:r>
        <w:rPr/>
        <w:t>Réponse immunitaire pratiquement identique à celle produite par une infection naturelle</w:t>
      </w:r>
    </w:p>
    <w:p>
      <w:pPr>
        <w:numPr>
          <w:ilvl w:val="1"/>
          <w:numId w:val="29"/>
        </w:numPr>
      </w:pPr>
      <w:r>
        <w:rPr/>
        <w:t xml:space="preserve">Possibilité de </w:t>
      </w:r>
      <w:r>
        <w:rPr>
          <w:b/>
        </w:rPr>
        <w:t>réversion de pathogène</w:t>
      </w:r>
      <w:r>
        <w:rPr/>
        <w:t xml:space="preserve"> chez les immunodéprimés (VIH), en cas d'infection durable (BCG-lymphadénite locale) ou d'erreur de vaccination (reconstitution, chaîne du froid) </w:t>
      </w:r>
    </w:p>
    <w:p>
      <w:pPr>
        <w:numPr>
          <w:ilvl w:val="1"/>
          <w:numId w:val="29"/>
        </w:numPr>
      </w:pPr>
      <w:r>
        <w:rPr/>
        <w:t>1ère dose protectrice ; 2ème dose-</w:t>
      </w:r>
      <w:r>
        <w:rPr/>
      </w:r>
      <w:r>
        <w:rPr/>
        <w:t xml:space="preserve"> offrir une opportunité supplémentaire</w:t>
      </w:r>
    </w:p>
    <w:p>
      <w:pPr>
        <w:pStyle w:val="Heading3"/>
        <w:numPr>
          <w:ilvl w:val="0"/>
          <w:numId w:val="65"/>
        </w:numPr>
      </w:pPr>
      <w:r>
        <w:rPr/>
        <w:t>Vaccins inactivés</w:t>
      </w:r>
    </w:p>
    <w:p>
      <w:pPr>
        <w:numPr>
          <w:ilvl w:val="1"/>
          <w:numId w:val="29"/>
        </w:numPr>
      </w:pPr>
      <w:r>
        <w:rPr/>
        <w:t xml:space="preserve">Produit de culture (virus ou Bactérie) puis inactivation par la chaleur ou substances chimiques (formaldéhyde+++) </w:t>
      </w:r>
    </w:p>
    <w:p>
      <w:pPr>
        <w:numPr>
          <w:ilvl w:val="1"/>
          <w:numId w:val="29"/>
        </w:numPr>
      </w:pPr>
      <w:r>
        <w:rPr>
          <w:b/>
        </w:rPr>
        <w:t>Pas de risque de réversion (</w:t>
      </w:r>
      <w:r>
        <w:rPr>
          <w:b/>
          <w:i/>
        </w:rPr>
        <w:t xml:space="preserve">tués) </w:t>
      </w:r>
    </w:p>
    <w:p>
      <w:pPr>
        <w:numPr>
          <w:ilvl w:val="1"/>
          <w:numId w:val="29"/>
        </w:numPr>
      </w:pPr>
      <w:r>
        <w:rPr/>
        <w:t xml:space="preserve">Non affectés par les </w:t>
      </w:r>
      <w:r>
        <w:rPr/>
        <w:t>Ac</w:t>
      </w:r>
      <w:r>
        <w:rPr/>
        <w:t xml:space="preserve"> maternels circulants et induisent une réponse immunitaire chez un nourrisson</w:t>
      </w:r>
    </w:p>
    <w:p>
      <w:pPr>
        <w:numPr>
          <w:ilvl w:val="1"/>
          <w:numId w:val="29"/>
        </w:numPr>
      </w:pPr>
      <w:r>
        <w:rPr/>
        <w:t xml:space="preserve">Nécessite l'administration de plusieurs doses : la 1ère dose sensibilise </w:t>
      </w:r>
      <w:r>
        <w:rPr>
          <w:i/>
        </w:rPr>
        <w:t xml:space="preserve">juste </w:t>
      </w:r>
      <w:r>
        <w:rPr/>
        <w:t>le système immunitaire</w:t>
      </w:r>
    </w:p>
    <w:p>
      <w:pPr>
        <w:numPr>
          <w:ilvl w:val="1"/>
          <w:numId w:val="29"/>
        </w:numPr>
      </w:pPr>
      <w:r>
        <w:rPr/>
        <w:t>Réponse immunitaire humorale, les titres d'Ac diminuent avec le temps</w:t>
      </w:r>
    </w:p>
    <w:p>
      <w:pPr>
        <w:pStyle w:val="Heading3"/>
        <w:numPr>
          <w:ilvl w:val="0"/>
          <w:numId w:val="65"/>
        </w:numPr>
      </w:pPr>
      <w:r>
        <w:rPr/>
        <w:t>Vaccins à base d'anatoxine</w:t>
      </w:r>
    </w:p>
    <w:p>
      <w:pPr>
        <w:numPr>
          <w:ilvl w:val="1"/>
          <w:numId w:val="29"/>
        </w:numPr>
      </w:pPr>
      <w:r>
        <w:rPr/>
        <w:t xml:space="preserve">Obtenus par </w:t>
      </w:r>
      <w:r>
        <w:rPr>
          <w:b/>
        </w:rPr>
        <w:t>purification de la toxine</w:t>
      </w:r>
      <w:r>
        <w:rPr/>
        <w:t xml:space="preserve"> en l'altérant chimiquement</w:t>
      </w:r>
    </w:p>
    <w:p>
      <w:pPr>
        <w:numPr>
          <w:ilvl w:val="1"/>
          <w:numId w:val="29"/>
        </w:numPr>
      </w:pPr>
      <w:r>
        <w:rPr/>
        <w:t>Non toxiques mais capables d'induire une réponse immunitaire</w:t>
      </w:r>
    </w:p>
    <w:p>
      <w:pPr>
        <w:numPr>
          <w:ilvl w:val="1"/>
          <w:numId w:val="29"/>
        </w:numPr>
      </w:pPr>
      <w:r>
        <w:rPr/>
        <w:t xml:space="preserve">Pour amplifier la réponse, elle (anatoxine) est </w:t>
      </w:r>
      <w:r>
        <w:rPr>
          <w:b/>
        </w:rPr>
        <w:t xml:space="preserve">associée à un adjuvant </w:t>
      </w:r>
      <w:r>
        <w:rPr/>
        <w:t xml:space="preserve">(ex : sels d'aluminium) </w:t>
      </w:r>
    </w:p>
    <w:p>
      <w:pPr>
        <w:numPr>
          <w:ilvl w:val="1"/>
          <w:numId w:val="29"/>
        </w:numPr>
      </w:pPr>
      <w:r>
        <w:rPr>
          <w:b/>
        </w:rPr>
        <w:t>Pas très immunogènes et nécessitent des doses de rappel</w:t>
      </w:r>
    </w:p>
    <w:p>
      <w:pPr>
        <w:pStyle w:val="Heading3"/>
        <w:numPr>
          <w:ilvl w:val="0"/>
          <w:numId w:val="65"/>
        </w:numPr>
      </w:pPr>
      <w:r>
        <w:rPr/>
        <w:t>Vaccins sous-unitaires</w:t>
      </w:r>
    </w:p>
    <w:p>
      <w:pPr>
        <w:numPr>
          <w:ilvl w:val="1"/>
          <w:numId w:val="29"/>
        </w:numPr>
      </w:pPr>
      <w:r>
        <w:rPr/>
        <w:t>Micro-organisme entier cultivé puis traité de manière à ne purifier que les composants à inclure dans le vaccin</w:t>
      </w:r>
      <w:r>
        <w:rPr>
          <w:b/>
        </w:rPr>
        <w:t xml:space="preserve"> </w:t>
      </w:r>
      <w:r>
        <w:rPr>
          <w:i/>
        </w:rPr>
        <w:t xml:space="preserve">(ex : rotavirus = plusieurs </w:t>
      </w:r>
      <w:r>
        <w:rPr>
          <w:i/>
        </w:rPr>
        <w:t>sérotypes ;</w:t>
      </w:r>
      <w:r>
        <w:rPr>
          <w:i/>
        </w:rPr>
        <w:t xml:space="preserve"> </w:t>
      </w:r>
      <w:r>
        <w:rPr>
          <w:i/>
        </w:rPr>
        <w:t>izay</w:t>
      </w:r>
      <w:r>
        <w:rPr>
          <w:i/>
        </w:rPr>
        <w:t xml:space="preserve"> </w:t>
      </w:r>
      <w:r>
        <w:rPr>
          <w:i/>
        </w:rPr>
        <w:t>tiana</w:t>
      </w:r>
      <w:r>
        <w:rPr>
          <w:i/>
        </w:rPr>
        <w:t xml:space="preserve"> </w:t>
      </w:r>
      <w:r>
        <w:rPr>
          <w:i/>
        </w:rPr>
        <w:t>ampidirina</w:t>
      </w:r>
      <w:r>
        <w:rPr>
          <w:i/>
        </w:rPr>
        <w:t xml:space="preserve"> </w:t>
      </w:r>
      <w:r>
        <w:rPr>
          <w:i/>
        </w:rPr>
        <w:t>anaty</w:t>
      </w:r>
      <w:r>
        <w:rPr>
          <w:i/>
        </w:rPr>
        <w:t xml:space="preserve"> </w:t>
      </w:r>
      <w:r>
        <w:rPr>
          <w:i/>
        </w:rPr>
        <w:t>vakisiny</w:t>
      </w:r>
      <w:r>
        <w:rPr>
          <w:i/>
        </w:rPr>
        <w:t xml:space="preserve"> no </w:t>
      </w:r>
      <w:r>
        <w:rPr>
          <w:i/>
        </w:rPr>
        <w:t>alaina</w:t>
      </w:r>
      <w:r>
        <w:rPr>
          <w:i/>
        </w:rPr>
        <w:t xml:space="preserve">) </w:t>
      </w:r>
    </w:p>
    <w:p>
      <w:pPr>
        <w:numPr>
          <w:ilvl w:val="1"/>
          <w:numId w:val="29"/>
        </w:numPr>
      </w:pPr>
      <w:r>
        <w:rPr>
          <w:b/>
        </w:rPr>
        <w:t>3 groupes :</w:t>
      </w:r>
    </w:p>
    <w:p>
      <w:pPr>
        <w:numPr>
          <w:ilvl w:val="2"/>
          <w:numId w:val="29"/>
        </w:numPr>
      </w:pPr>
      <w:r>
        <w:rPr>
          <w:b/>
        </w:rPr>
        <w:t>Vaccins protéiques</w:t>
      </w:r>
    </w:p>
    <w:p>
      <w:pPr>
        <w:numPr>
          <w:ilvl w:val="2"/>
          <w:numId w:val="29"/>
        </w:numPr>
      </w:pPr>
      <w:r>
        <w:rPr>
          <w:b/>
        </w:rPr>
        <w:t>Vaccins polysaccharidiques</w:t>
      </w:r>
    </w:p>
    <w:p>
      <w:pPr>
        <w:numPr>
          <w:ilvl w:val="2"/>
          <w:numId w:val="29"/>
        </w:numPr>
      </w:pPr>
      <w:r>
        <w:rPr>
          <w:b/>
        </w:rPr>
        <w:t>Vaccins conjugués</w:t>
      </w:r>
    </w:p>
    <w:p>
      <w:pPr>
        <w:pStyle w:val="Heading3"/>
      </w:pPr>
      <w:r>
        <w:rPr/>
        <w:t>Les excipients</w:t>
      </w:r>
    </w:p>
    <w:p>
      <w:pPr>
        <w:pStyle w:val="Heading4"/>
        <w:numPr>
          <w:ilvl w:val="0"/>
          <w:numId w:val="66"/>
        </w:numPr>
      </w:pPr>
      <w:r>
        <w:rPr/>
        <w:t>Adjuvants</w:t>
      </w:r>
    </w:p>
    <w:p>
      <w:pPr>
        <w:numPr>
          <w:ilvl w:val="2"/>
          <w:numId w:val="29"/>
        </w:numPr>
      </w:pPr>
      <w:r>
        <w:rPr/>
        <w:t>Substances capables de stimuler la réaction immunitaire en termes d'intensité et/ou de durée</w:t>
      </w:r>
    </w:p>
    <w:p>
      <w:pPr>
        <w:numPr>
          <w:ilvl w:val="2"/>
          <w:numId w:val="29"/>
        </w:numPr>
      </w:pPr>
      <w:r>
        <w:rPr/>
        <w:t>Un adjuvant contribue à retenir plus longtemps l'Ag au site d'injection afin de prolonger la durée de contact entre l'Ag et le système immunitaire</w:t>
      </w:r>
    </w:p>
    <w:p>
      <w:pPr>
        <w:numPr>
          <w:ilvl w:val="2"/>
          <w:numId w:val="29"/>
        </w:numPr>
      </w:pPr>
      <w:r>
        <w:rPr/>
        <w:t>Ex :</w:t>
      </w:r>
      <w:r>
        <w:rPr/>
        <w:t xml:space="preserve"> sels d'aluminium (phosphate d'aluminium potassique, sulfate d'aluminium potassique)</w:t>
      </w:r>
      <w:r>
        <w:rPr>
          <w:b/>
        </w:rPr>
        <w:t xml:space="preserve"> </w:t>
      </w:r>
      <w:r>
        <w:rPr>
          <w:b/>
        </w:rPr>
        <w:br/>
      </w:r>
    </w:p>
    <w:p>
      <w:pPr>
        <w:pStyle w:val="Heading4"/>
        <w:numPr>
          <w:ilvl w:val="0"/>
          <w:numId w:val="66"/>
        </w:numPr>
      </w:pPr>
      <w:r>
        <w:rPr/>
        <w:t>Antibiotiques</w:t>
      </w:r>
    </w:p>
    <w:p>
      <w:pPr>
        <w:numPr>
          <w:ilvl w:val="2"/>
          <w:numId w:val="29"/>
        </w:numPr>
      </w:pPr>
      <w:r>
        <w:rPr/>
        <w:t>Utilisés pendant la phase de fabrication pour empêcher la contamination bactérienne des cellules en culture tissulaire</w:t>
      </w:r>
    </w:p>
    <w:p>
      <w:pPr>
        <w:numPr>
          <w:ilvl w:val="3"/>
          <w:numId w:val="29"/>
        </w:numPr>
      </w:pPr>
      <w:r>
        <w:rPr/>
        <w:t xml:space="preserve">Ex : ROR et VPI contenant moins de 25 </w:t>
      </w:r>
      <w:r>
        <w:rPr/>
      </w:r>
      <w:r>
        <w:rPr/>
        <w:t>grames</w:t>
      </w:r>
      <w:r>
        <w:rPr/>
        <w:t xml:space="preserve"> de Néomycine par dose</w:t>
      </w:r>
      <w:r>
        <w:rPr/>
        <w:br/>
      </w:r>
    </w:p>
    <w:p>
      <w:pPr>
        <w:pStyle w:val="Heading4"/>
        <w:numPr>
          <w:ilvl w:val="0"/>
          <w:numId w:val="66"/>
        </w:numPr>
      </w:pPr>
      <w:r>
        <w:rPr/>
        <w:t xml:space="preserve">Conservateurs </w:t>
      </w:r>
    </w:p>
    <w:p>
      <w:pPr>
        <w:numPr>
          <w:ilvl w:val="2"/>
          <w:numId w:val="29"/>
        </w:numPr>
      </w:pPr>
      <w:r>
        <w:rPr/>
        <w:t>Substances chimiques ajoutées aux vaccins inactivés ou sous-unitaires afin d'inactiver le virus, neutraliser les toxines bactériennes et prévenir les infections secondaires graves en lien avec une contamination bactérienne ou fongique</w:t>
      </w:r>
    </w:p>
    <w:p>
      <w:pPr>
        <w:numPr>
          <w:ilvl w:val="2"/>
          <w:numId w:val="29"/>
        </w:numPr>
      </w:pPr>
      <w:r>
        <w:rPr/>
        <w:t xml:space="preserve">Ex : </w:t>
      </w:r>
      <w:r>
        <w:rPr/>
        <w:t>thiomersal</w:t>
      </w:r>
      <w:r>
        <w:rPr/>
        <w:t xml:space="preserve">, dérivés </w:t>
      </w:r>
      <w:r>
        <w:rPr/>
        <w:t>phénolés</w:t>
      </w:r>
      <w:r>
        <w:rPr/>
        <w:br/>
      </w:r>
    </w:p>
    <w:p>
      <w:pPr>
        <w:pStyle w:val="Heading4"/>
        <w:numPr>
          <w:ilvl w:val="0"/>
          <w:numId w:val="66"/>
        </w:numPr>
      </w:pPr>
      <w:r>
        <w:rPr/>
        <w:t>Stabilisants</w:t>
      </w:r>
    </w:p>
    <w:p>
      <w:pPr>
        <w:numPr>
          <w:ilvl w:val="2"/>
          <w:numId w:val="29"/>
        </w:numPr>
      </w:pPr>
      <w:r>
        <w:rPr/>
        <w:t xml:space="preserve">Permettent de maintenir l'efficacité du vaccin pendant son stockage : remédier aux problèmes d'acidité, d'alcalinité, de stabilité et de température </w:t>
      </w:r>
    </w:p>
    <w:p>
      <w:pPr>
        <w:numPr>
          <w:ilvl w:val="2"/>
          <w:numId w:val="29"/>
        </w:numPr>
      </w:pPr>
      <w:r>
        <w:rPr/>
        <w:t>Ex : chlorure de magnésium (MgCl2), sulfate de magnésium (MgSO4), lactose-sorbitol et le sorbitol-gélatine</w:t>
      </w:r>
    </w:p>
    <w:p>
      <w:pPr/>
    </w:p>
    <w:p>
      <w:pPr>
        <w:pStyle w:val="Heading2"/>
        <w:numPr>
          <w:ilvl w:val="0"/>
          <w:numId w:val="63"/>
        </w:numPr>
      </w:pPr>
      <w:r>
        <w:rPr/>
        <w:t>INDICATIONS ET CONTRE-INDICATIONS</w:t>
      </w:r>
    </w:p>
    <w:p>
      <w:pPr>
        <w:pStyle w:val="Heading3"/>
      </w:pPr>
      <w:r>
        <w:rPr/>
        <w:t>Indications</w:t>
      </w:r>
    </w:p>
    <w:p>
      <w:pPr>
        <w:numPr>
          <w:ilvl w:val="1"/>
          <w:numId w:val="30"/>
        </w:numPr>
      </w:pPr>
      <w:r>
        <w:rPr/>
        <w:t xml:space="preserve">Protection individuelle : tétanos </w:t>
      </w:r>
    </w:p>
    <w:p>
      <w:pPr>
        <w:numPr>
          <w:ilvl w:val="1"/>
          <w:numId w:val="30"/>
        </w:numPr>
      </w:pPr>
      <w:r>
        <w:rPr/>
        <w:t>Eviter les épidémies : rougeole, méningococcie, poliomyélite, hépatite B, fièvre jaune (</w:t>
      </w:r>
      <w:r>
        <w:rPr>
          <w:i/>
        </w:rPr>
        <w:t xml:space="preserve">riposte vaccinale en période </w:t>
      </w:r>
      <w:r>
        <w:rPr>
          <w:i/>
        </w:rPr>
        <w:t>d’épidémie :</w:t>
      </w:r>
      <w:r>
        <w:rPr>
          <w:i/>
        </w:rPr>
        <w:t xml:space="preserve"> vacciner les non encore malades) </w:t>
      </w:r>
    </w:p>
    <w:p>
      <w:pPr>
        <w:numPr>
          <w:ilvl w:val="1"/>
          <w:numId w:val="30"/>
        </w:numPr>
      </w:pPr>
      <w:r>
        <w:rPr/>
        <w:t xml:space="preserve">Exposition de certaines personnes ou groupe : personnes âgées et terrain fragile, immunodéprimés, voyage, personnel de santé </w:t>
      </w:r>
    </w:p>
    <w:p>
      <w:pPr>
        <w:numPr>
          <w:ilvl w:val="1"/>
          <w:numId w:val="30"/>
        </w:numPr>
      </w:pPr>
      <w:r>
        <w:rPr/>
        <w:t>Vaccinations généralisées : protection contre les risques infectieux</w:t>
      </w:r>
      <w:r>
        <w:rPr/>
        <w:br/>
      </w:r>
    </w:p>
    <w:p>
      <w:pPr>
        <w:pStyle w:val="Heading4"/>
        <w:numPr>
          <w:ilvl w:val="0"/>
          <w:numId w:val="67"/>
        </w:numPr>
      </w:pPr>
      <w:r>
        <w:rPr/>
        <w:t>Dans la population générale :</w:t>
      </w:r>
    </w:p>
    <w:p>
      <w:pPr>
        <w:pStyle w:val="Heading5"/>
        <w:numPr>
          <w:ilvl w:val="0"/>
          <w:numId w:val="68"/>
        </w:numPr>
      </w:pPr>
      <w:r>
        <w:rPr/>
        <w:t>Hépatite B</w:t>
      </w:r>
    </w:p>
    <w:p>
      <w:pPr>
        <w:numPr>
          <w:ilvl w:val="3"/>
          <w:numId w:val="30"/>
        </w:numPr>
      </w:pPr>
      <w:r>
        <w:rPr/>
        <w:t xml:space="preserve">NN de mère Ag </w:t>
      </w:r>
      <w:r>
        <w:rPr/>
        <w:t>HBs</w:t>
      </w:r>
      <w:r>
        <w:rPr/>
        <w:t xml:space="preserve"> positif</w:t>
      </w:r>
    </w:p>
    <w:p>
      <w:pPr>
        <w:numPr>
          <w:ilvl w:val="3"/>
          <w:numId w:val="30"/>
        </w:numPr>
      </w:pPr>
      <w:r>
        <w:rPr/>
        <w:t>Entourage d'un sujet infecté par VHB</w:t>
      </w:r>
    </w:p>
    <w:p>
      <w:pPr>
        <w:numPr>
          <w:ilvl w:val="3"/>
          <w:numId w:val="30"/>
        </w:numPr>
      </w:pPr>
      <w:r>
        <w:rPr/>
        <w:t xml:space="preserve">Partenaires sexuels de sujet </w:t>
      </w:r>
      <w:r>
        <w:rPr/>
        <w:t>AgHBs</w:t>
      </w:r>
      <w:r>
        <w:rPr/>
        <w:t>+</w:t>
      </w:r>
    </w:p>
    <w:p>
      <w:pPr>
        <w:numPr>
          <w:ilvl w:val="3"/>
          <w:numId w:val="30"/>
        </w:numPr>
      </w:pPr>
      <w:r>
        <w:rPr/>
        <w:t xml:space="preserve">Insuffisants rénaux dialysés (sérologie annuelle, rappel dès que </w:t>
      </w:r>
      <w:r>
        <w:rPr/>
        <w:t>Ac</w:t>
      </w:r>
      <w:r>
        <w:rPr/>
      </w:r>
      <w:r>
        <w:rPr/>
        <w:t xml:space="preserve"> Seuil protecteur) </w:t>
      </w:r>
    </w:p>
    <w:p>
      <w:pPr>
        <w:pStyle w:val="ListParagraph"/>
        <w:numPr>
          <w:ilvl w:val="3"/>
          <w:numId w:val="30"/>
        </w:numPr>
      </w:pPr>
      <w:r>
        <w:rPr/>
        <w:t>Toxicomanes utilisant des drogues parentérales</w:t>
      </w:r>
    </w:p>
    <w:p>
      <w:pPr>
        <w:pStyle w:val="ListParagraph"/>
        <w:numPr>
          <w:ilvl w:val="3"/>
          <w:numId w:val="30"/>
        </w:numPr>
      </w:pPr>
      <w:r>
        <w:rPr/>
        <w:t>Enfants avant l'entrée en collectivité</w:t>
      </w:r>
    </w:p>
    <w:p>
      <w:pPr>
        <w:pStyle w:val="ListParagraph"/>
        <w:numPr>
          <w:ilvl w:val="3"/>
          <w:numId w:val="30"/>
        </w:numPr>
      </w:pPr>
      <w:r>
        <w:rPr/>
        <w:t>Personnes à partenaires sexuels multiples</w:t>
      </w:r>
      <w:r>
        <w:rPr/>
        <w:br/>
      </w:r>
    </w:p>
    <w:p>
      <w:pPr>
        <w:pStyle w:val="Heading5"/>
        <w:numPr>
          <w:ilvl w:val="0"/>
          <w:numId w:val="68"/>
        </w:numPr>
      </w:pPr>
      <w:r>
        <w:rPr/>
        <w:t>Hépatite A</w:t>
      </w:r>
    </w:p>
    <w:p>
      <w:pPr>
        <w:numPr>
          <w:ilvl w:val="3"/>
          <w:numId w:val="30"/>
        </w:numPr>
      </w:pPr>
      <w:r>
        <w:rPr/>
        <w:t xml:space="preserve">Voyageurs en zone d'endémie </w:t>
      </w:r>
      <w:r>
        <w:rPr>
          <w:i/>
        </w:rPr>
        <w:t>Inde</w:t>
      </w:r>
    </w:p>
    <w:p>
      <w:pPr>
        <w:numPr>
          <w:ilvl w:val="3"/>
          <w:numId w:val="30"/>
        </w:numPr>
      </w:pPr>
      <w:r>
        <w:rPr/>
        <w:t>Crèches, internats pour handicapés</w:t>
      </w:r>
    </w:p>
    <w:p>
      <w:pPr>
        <w:numPr>
          <w:ilvl w:val="3"/>
          <w:numId w:val="30"/>
        </w:numPr>
      </w:pPr>
      <w:r>
        <w:rPr/>
        <w:t>Personnels traitant les eaux usées</w:t>
      </w:r>
    </w:p>
    <w:p>
      <w:pPr>
        <w:numPr>
          <w:ilvl w:val="3"/>
          <w:numId w:val="30"/>
        </w:numPr>
      </w:pPr>
      <w:r>
        <w:rPr/>
        <w:t>Personnel de restauration collective</w:t>
      </w:r>
    </w:p>
    <w:p>
      <w:pPr>
        <w:numPr>
          <w:ilvl w:val="3"/>
          <w:numId w:val="30"/>
        </w:numPr>
      </w:pPr>
      <w:r>
        <w:rPr/>
        <w:t>Personnes exposées à de risques particuliers de contamination</w:t>
      </w:r>
      <w:r>
        <w:rPr/>
        <w:br/>
      </w:r>
    </w:p>
    <w:p>
      <w:pPr>
        <w:pStyle w:val="Heading5"/>
        <w:numPr>
          <w:ilvl w:val="0"/>
          <w:numId w:val="68"/>
        </w:numPr>
      </w:pPr>
      <w:r>
        <w:rPr/>
        <w:t xml:space="preserve">Grippe </w:t>
      </w:r>
    </w:p>
    <w:p>
      <w:pPr>
        <w:pStyle w:val="ListParagraph"/>
        <w:numPr>
          <w:ilvl w:val="2"/>
          <w:numId w:val="11"/>
        </w:numPr>
      </w:pPr>
      <w:r>
        <w:rPr/>
        <w:t>Insuffisance respiratoire, bronchopathie chronique (</w:t>
      </w:r>
      <w:r>
        <w:rPr>
          <w:i/>
        </w:rPr>
        <w:t xml:space="preserve">BPCO, dysplasie bronchopulmonaire), </w:t>
      </w:r>
      <w:r>
        <w:rPr/>
        <w:t>insuffisance cardiaque, néphropathie chronique grave, diabète, immunodépression cellulaire (sauf VIH), drépanocytose, thalassémie</w:t>
      </w:r>
    </w:p>
    <w:p>
      <w:pPr>
        <w:pStyle w:val="ListParagraph"/>
        <w:numPr>
          <w:ilvl w:val="2"/>
          <w:numId w:val="11"/>
        </w:numPr>
      </w:pPr>
      <w:r>
        <w:rPr/>
        <w:t xml:space="preserve">Enfants préscolaires, traitement prolongé par aspirine (Maladie de Kawasaki) </w:t>
      </w:r>
    </w:p>
    <w:p>
      <w:pPr>
        <w:pStyle w:val="ListParagraph"/>
        <w:numPr>
          <w:ilvl w:val="2"/>
          <w:numId w:val="11"/>
        </w:numPr>
      </w:pPr>
      <w:r>
        <w:rPr/>
        <w:t xml:space="preserve">Sujets </w:t>
      </w:r>
      <w:r>
        <w:rPr/>
      </w:r>
      <w:r>
        <w:rPr/>
        <w:t xml:space="preserve"> 65 ans</w:t>
      </w:r>
      <w:r>
        <w:rPr/>
        <w:br/>
      </w:r>
    </w:p>
    <w:p>
      <w:pPr>
        <w:pStyle w:val="Heading5"/>
        <w:numPr>
          <w:ilvl w:val="0"/>
          <w:numId w:val="68"/>
        </w:numPr>
      </w:pPr>
      <w:r>
        <w:rPr/>
        <w:t>Pneumocoque</w:t>
      </w:r>
      <w:r>
        <w:rPr/>
        <w:t xml:space="preserve"> :</w:t>
      </w:r>
    </w:p>
    <w:p>
      <w:pPr>
        <w:pStyle w:val="ListParagraph"/>
        <w:numPr>
          <w:ilvl w:val="0"/>
          <w:numId w:val="59"/>
        </w:numPr>
      </w:pPr>
      <w:r>
        <w:rPr/>
        <w:t>Splénectomisés, drépanocytaires homozygotes, syndrome néphrotique, infection à VIH, Traitement immunosuppresseur</w:t>
      </w:r>
    </w:p>
    <w:p>
      <w:pPr>
        <w:pStyle w:val="ListParagraph"/>
        <w:numPr>
          <w:ilvl w:val="0"/>
          <w:numId w:val="59"/>
        </w:numPr>
      </w:pPr>
      <w:r>
        <w:rPr/>
        <w:t>Bronchite chronique, insuffisants respiratoires, alcooliques avec hépatopathie chronique, insuffisants cardiaques, antécédent d'infection pulmonaire</w:t>
      </w:r>
    </w:p>
    <w:p>
      <w:pPr>
        <w:ind w:left="1080"/>
      </w:pPr>
    </w:p>
    <w:p>
      <w:pPr>
        <w:pStyle w:val="Heading4"/>
        <w:numPr>
          <w:ilvl w:val="0"/>
          <w:numId w:val="67"/>
        </w:numPr>
      </w:pPr>
      <w:r>
        <w:rPr/>
        <w:t xml:space="preserve">Population </w:t>
      </w:r>
      <w:r>
        <w:rPr/>
        <w:t>spécifique</w:t>
      </w:r>
    </w:p>
    <w:p>
      <w:pPr>
        <w:pStyle w:val="Heading5"/>
        <w:numPr>
          <w:ilvl w:val="0"/>
          <w:numId w:val="69"/>
        </w:numPr>
      </w:pPr>
      <w:r>
        <w:rPr/>
        <w:t>Allergiques</w:t>
      </w:r>
    </w:p>
    <w:p>
      <w:pPr>
        <w:pStyle w:val="ListParagraph"/>
        <w:numPr>
          <w:ilvl w:val="0"/>
          <w:numId w:val="60"/>
        </w:numPr>
      </w:pPr>
      <w:r>
        <w:rPr/>
        <w:t xml:space="preserve">Constituants allergisants = </w:t>
      </w:r>
      <w:r>
        <w:rPr/>
        <w:t>œufs</w:t>
      </w:r>
      <w:r>
        <w:rPr/>
        <w:t>, gélatine, ATB</w:t>
      </w:r>
    </w:p>
    <w:p>
      <w:pPr>
        <w:pStyle w:val="ListParagraph"/>
        <w:numPr>
          <w:ilvl w:val="0"/>
          <w:numId w:val="60"/>
        </w:numPr>
      </w:pPr>
      <w:r>
        <w:rPr/>
        <w:t>Ne pas vacciner lors d'une poussée évolutive de la maladie</w:t>
      </w:r>
    </w:p>
    <w:p>
      <w:pPr>
        <w:pStyle w:val="ListParagraph"/>
        <w:numPr>
          <w:ilvl w:val="0"/>
          <w:numId w:val="60"/>
        </w:numPr>
      </w:pPr>
      <w:r>
        <w:rPr/>
        <w:t>S'assurer que le vaccin utilisé ne contient pas d'ATB réputés dangereux (</w:t>
      </w:r>
      <w:r>
        <w:rPr>
          <w:b/>
        </w:rPr>
        <w:t xml:space="preserve">streptomycine, néomycine, kanamycine) </w:t>
      </w:r>
    </w:p>
    <w:p>
      <w:pPr>
        <w:pStyle w:val="ListParagraph"/>
        <w:numPr>
          <w:ilvl w:val="0"/>
          <w:numId w:val="60"/>
        </w:numPr>
      </w:pPr>
      <w:r>
        <w:rPr/>
        <w:t>Prescrire un antihistaminique le jour de la vaccination et poursuivre jusqu'à 10 jours</w:t>
      </w:r>
    </w:p>
    <w:p>
      <w:pPr>
        <w:pStyle w:val="ListParagraph"/>
        <w:numPr>
          <w:ilvl w:val="0"/>
          <w:numId w:val="60"/>
        </w:numPr>
      </w:pPr>
      <w:r>
        <w:rPr/>
        <w:t xml:space="preserve">Pour la fièvre jaune, faire d'abord un </w:t>
      </w:r>
      <w:r>
        <w:rPr/>
        <w:t>prick</w:t>
      </w:r>
      <w:r>
        <w:rPr/>
        <w:t>-test</w:t>
      </w:r>
      <w:r>
        <w:rPr/>
        <w:t xml:space="preserve"> </w:t>
      </w:r>
      <w:r>
        <w:rPr/>
        <w:t>(</w:t>
      </w:r>
      <w:r>
        <w:rPr>
          <w:i/>
        </w:rPr>
        <w:t xml:space="preserve">test allergologique chez un allergologue) </w:t>
      </w:r>
      <w:r>
        <w:rPr>
          <w:i/>
        </w:rPr>
        <w:br/>
      </w:r>
    </w:p>
    <w:p>
      <w:pPr>
        <w:pStyle w:val="Heading5"/>
        <w:numPr>
          <w:ilvl w:val="0"/>
          <w:numId w:val="69"/>
        </w:numPr>
      </w:pPr>
      <w:r>
        <w:rPr/>
        <w:t>Personnes infectées par VIH</w:t>
      </w:r>
    </w:p>
    <w:p>
      <w:pPr>
        <w:pStyle w:val="ListParagraph"/>
        <w:numPr>
          <w:ilvl w:val="1"/>
          <w:numId w:val="61"/>
        </w:numPr>
      </w:pPr>
      <w:r>
        <w:rPr/>
        <w:t>Proscrire rubéole et BCG</w:t>
      </w:r>
    </w:p>
    <w:p>
      <w:pPr>
        <w:pStyle w:val="ListParagraph"/>
        <w:numPr>
          <w:ilvl w:val="1"/>
          <w:numId w:val="61"/>
        </w:numPr>
      </w:pPr>
      <w:r>
        <w:rPr/>
        <w:t>Tétanos et polio comme chez l'individu normal, diphtérie si indiquée</w:t>
      </w:r>
    </w:p>
    <w:p>
      <w:pPr>
        <w:pStyle w:val="ListParagraph"/>
        <w:numPr>
          <w:ilvl w:val="1"/>
          <w:numId w:val="61"/>
        </w:numPr>
      </w:pPr>
      <w:r>
        <w:rPr/>
        <w:t>HB chez sujets non immunisés</w:t>
      </w:r>
    </w:p>
    <w:p>
      <w:pPr>
        <w:pStyle w:val="ListParagraph"/>
        <w:numPr>
          <w:ilvl w:val="1"/>
          <w:numId w:val="61"/>
        </w:numPr>
      </w:pPr>
      <w:r>
        <w:rPr/>
        <w:t>Grippe non obligatoire</w:t>
      </w:r>
    </w:p>
    <w:p>
      <w:pPr>
        <w:pStyle w:val="ListParagraph"/>
        <w:numPr>
          <w:ilvl w:val="1"/>
          <w:numId w:val="61"/>
        </w:numPr>
      </w:pPr>
      <w:r>
        <w:rPr/>
        <w:t xml:space="preserve">Fièvre jaune si CD4 </w:t>
      </w:r>
      <w:r>
        <w:rPr/>
      </w:r>
      <w:r>
        <w:rPr/>
        <w:t>200/mm3</w:t>
      </w:r>
    </w:p>
    <w:p>
      <w:pPr>
        <w:pStyle w:val="ListParagraph"/>
        <w:numPr>
          <w:ilvl w:val="1"/>
          <w:numId w:val="61"/>
        </w:numPr>
      </w:pPr>
      <w:r>
        <w:rPr/>
        <w:t>Méningocoque A et C possible</w:t>
      </w:r>
      <w:r>
        <w:rPr/>
        <w:br/>
      </w:r>
    </w:p>
    <w:p>
      <w:pPr>
        <w:pStyle w:val="Heading5"/>
        <w:numPr>
          <w:ilvl w:val="0"/>
          <w:numId w:val="69"/>
        </w:numPr>
      </w:pPr>
      <w:r>
        <w:rPr/>
        <w:t>Voyageurs</w:t>
      </w:r>
    </w:p>
    <w:p>
      <w:pPr>
        <w:pStyle w:val="ListParagraph"/>
        <w:numPr>
          <w:ilvl w:val="1"/>
          <w:numId w:val="62"/>
        </w:numPr>
      </w:pPr>
      <w:r>
        <w:rPr/>
        <w:t>Fièvre jaune</w:t>
      </w:r>
    </w:p>
    <w:p>
      <w:pPr>
        <w:pStyle w:val="ListParagraph"/>
        <w:numPr>
          <w:ilvl w:val="1"/>
          <w:numId w:val="62"/>
        </w:numPr>
      </w:pPr>
      <w:r>
        <w:rPr/>
        <w:t xml:space="preserve">Diphtérie </w:t>
      </w:r>
    </w:p>
    <w:p>
      <w:pPr>
        <w:pStyle w:val="ListParagraph"/>
        <w:numPr>
          <w:ilvl w:val="1"/>
          <w:numId w:val="62"/>
        </w:numPr>
      </w:pPr>
      <w:r>
        <w:rPr/>
        <w:t>Typhoïde</w:t>
      </w:r>
    </w:p>
    <w:p>
      <w:pPr>
        <w:pStyle w:val="ListParagraph"/>
        <w:numPr>
          <w:ilvl w:val="1"/>
          <w:numId w:val="62"/>
        </w:numPr>
      </w:pPr>
      <w:r>
        <w:rPr/>
        <w:t>Hépatite A et B</w:t>
      </w:r>
    </w:p>
    <w:p>
      <w:pPr>
        <w:pStyle w:val="ListParagraph"/>
        <w:numPr>
          <w:ilvl w:val="1"/>
          <w:numId w:val="62"/>
        </w:numPr>
      </w:pPr>
      <w:r>
        <w:rPr/>
        <w:t>Méningocoque A et C</w:t>
      </w:r>
    </w:p>
    <w:p>
      <w:pPr>
        <w:pStyle w:val="ListParagraph"/>
        <w:numPr>
          <w:ilvl w:val="1"/>
          <w:numId w:val="62"/>
        </w:numPr>
      </w:pPr>
      <w:r>
        <w:rPr/>
        <w:t>Rage</w:t>
      </w:r>
    </w:p>
    <w:p>
      <w:pPr>
        <w:pStyle w:val="ListParagraph"/>
        <w:numPr>
          <w:ilvl w:val="1"/>
          <w:numId w:val="62"/>
        </w:numPr>
      </w:pPr>
      <w:r>
        <w:rPr/>
        <w:t>Encéphalite japonaise</w:t>
      </w:r>
    </w:p>
    <w:p>
      <w:pPr>
        <w:pStyle w:val="ListParagraph"/>
        <w:numPr>
          <w:ilvl w:val="1"/>
          <w:numId w:val="62"/>
        </w:numPr>
      </w:pPr>
      <w:r>
        <w:rPr/>
        <w:t>Encéphalite à tiques d'Europe centrale</w:t>
      </w:r>
    </w:p>
    <w:p>
      <w:pPr>
        <w:ind w:left="1080"/>
      </w:pPr>
    </w:p>
    <w:p>
      <w:pPr>
        <w:pStyle w:val="Heading3"/>
      </w:pPr>
      <w:r>
        <w:rPr/>
        <w:t>Contre-indications</w:t>
      </w:r>
      <w:r>
        <w:rPr/>
        <w:t xml:space="preserve"> :</w:t>
      </w:r>
    </w:p>
    <w:p>
      <w:pPr>
        <w:numPr>
          <w:ilvl w:val="0"/>
          <w:numId w:val="31"/>
        </w:numPr>
      </w:pPr>
      <w:r>
        <w:rPr/>
        <w:t>Vaccins vivants atténués : immunodépression, femme enceinte</w:t>
      </w:r>
    </w:p>
    <w:p>
      <w:pPr>
        <w:numPr>
          <w:ilvl w:val="0"/>
          <w:numId w:val="31"/>
        </w:numPr>
      </w:pPr>
      <w:r>
        <w:rPr/>
        <w:t xml:space="preserve">Allergie aux ATB (Néomycine, </w:t>
      </w:r>
      <w:r>
        <w:rPr/>
        <w:t>Kanamycine, ...</w:t>
      </w:r>
      <w:r>
        <w:rPr/>
        <w:t xml:space="preserve">) </w:t>
      </w:r>
    </w:p>
    <w:p>
      <w:pPr>
        <w:ind w:left="1080"/>
      </w:pPr>
    </w:p>
    <w:p>
      <w:pPr>
        <w:pStyle w:val="Heading2"/>
        <w:numPr>
          <w:ilvl w:val="0"/>
          <w:numId w:val="63"/>
        </w:numPr>
      </w:pPr>
      <w:r>
        <w:rPr/>
        <w:t>EFFETS INDÉSIRABLES</w:t>
      </w:r>
    </w:p>
    <w:p>
      <w:pPr>
        <w:pStyle w:val="Heading3"/>
      </w:pPr>
      <w:r>
        <w:rPr/>
        <w:t>MANIFESTATIONS ADVERSES POST-IMMUNISATION =MAPI</w:t>
      </w:r>
      <w:r>
        <w:rPr/>
        <w:t xml:space="preserve"> </w:t>
      </w:r>
    </w:p>
    <w:p>
      <w:pPr>
        <w:numPr>
          <w:ilvl w:val="0"/>
          <w:numId w:val="32"/>
        </w:numPr>
      </w:pPr>
      <w:r>
        <w:rPr/>
        <w:t>Manifestations post-vaccinales indésirables</w:t>
      </w:r>
    </w:p>
    <w:p>
      <w:pPr>
        <w:numPr>
          <w:ilvl w:val="0"/>
          <w:numId w:val="32"/>
        </w:numPr>
      </w:pPr>
      <w:r>
        <w:rPr/>
        <w:t>Tout évènement médical fâcheux qui se produit à la suite de l'administration d'un vaccin et qui n'a pas nécessairement de lien causal avec la vaccination</w:t>
      </w:r>
    </w:p>
    <w:p>
      <w:pPr>
        <w:numPr>
          <w:ilvl w:val="0"/>
          <w:numId w:val="32"/>
        </w:numPr>
      </w:pPr>
      <w:r>
        <w:rPr>
          <w:b/>
        </w:rPr>
        <w:t>5 catégories de MAPI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/>
            <w:r>
              <w:rPr>
                <w:color w:val="FFFFFF"/>
              </w:rPr>
              <w:t>Types de MAPI</w:t>
            </w:r>
          </w:p>
        </w:tc>
        <w:tc>
          <w:tcPr>
            <w:tcW w:type="dxa" w:w="4621"/>
          </w:tcPr>
          <w:p/>
          <w:p>
            <w:pPr/>
            <w:r>
              <w:rPr>
                <w:color w:val="FFFFFF"/>
              </w:rPr>
              <w:t>Définition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Réaction liée à un produit vaccinal</w:t>
            </w:r>
          </w:p>
        </w:tc>
        <w:tc>
          <w:tcPr>
            <w:tcW w:type="dxa" w:w="4621"/>
          </w:tcPr>
          <w:p/>
          <w:p>
            <w:pPr/>
            <w:r>
              <w:rPr/>
              <w:t>Due à une ou plusieurs des propriétés inhérentes au produit vaccinal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Réaction liée à un défaut de qualité du vaccin</w:t>
            </w:r>
          </w:p>
        </w:tc>
        <w:tc>
          <w:tcPr>
            <w:tcW w:type="dxa" w:w="4621"/>
          </w:tcPr>
          <w:p/>
          <w:p>
            <w:pPr/>
            <w:r>
              <w:rPr/>
              <w:t>Due à un ou plusieurs défauts de qualité du produit vaccinal, y compris son dispositif d'administration tel que fourni par le fabricant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Réaction liée à une erreur de vaccination</w:t>
            </w:r>
          </w:p>
        </w:tc>
        <w:tc>
          <w:tcPr>
            <w:tcW w:type="dxa" w:w="4621"/>
          </w:tcPr>
          <w:p/>
          <w:p>
            <w:pPr/>
            <w:r>
              <w:rPr/>
              <w:t>Due à une manipulation, prescription ou administration inadéquate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Réaction liée à l'anxiété due à la vaccination</w:t>
            </w:r>
          </w:p>
        </w:tc>
        <w:tc>
          <w:tcPr>
            <w:tcW w:type="dxa" w:w="4621"/>
          </w:tcPr>
          <w:p/>
          <w:p>
            <w:pPr/>
          </w:p>
        </w:tc>
      </w:tr>
      <w:tr>
        <w:tc>
          <w:tcPr>
            <w:tcW w:type="dxa" w:w="4621"/>
          </w:tcPr>
          <w:p/>
          <w:p>
            <w:pPr/>
            <w:r>
              <w:rPr/>
              <w:t>Evènement concomitant</w:t>
            </w:r>
          </w:p>
        </w:tc>
        <w:tc>
          <w:tcPr>
            <w:tcW w:type="dxa" w:w="4621"/>
          </w:tcPr>
          <w:p/>
          <w:p>
            <w:pPr/>
            <w:r>
              <w:rPr/>
              <w:t>La cause est autre que le produit vaccinal</w:t>
            </w:r>
          </w:p>
        </w:tc>
      </w:tr>
    </w:tbl>
    <w:p>
      <w:pPr>
        <w:ind w:left="720"/>
      </w:pPr>
    </w:p>
    <w:p>
      <w:pPr>
        <w:numPr>
          <w:ilvl w:val="0"/>
          <w:numId w:val="33"/>
        </w:numPr>
      </w:pPr>
      <w:r>
        <w:rPr>
          <w:b/>
        </w:rPr>
        <w:t xml:space="preserve">Réaction </w:t>
      </w:r>
      <w:r>
        <w:rPr>
          <w:b/>
        </w:rPr>
        <w:t>locale :</w:t>
      </w:r>
      <w:r>
        <w:rPr>
          <w:b/>
        </w:rPr>
        <w:t xml:space="preserve"> </w:t>
      </w:r>
    </w:p>
    <w:p>
      <w:pPr>
        <w:numPr>
          <w:ilvl w:val="1"/>
          <w:numId w:val="33"/>
        </w:numPr>
      </w:pPr>
      <w:r>
        <w:rPr/>
        <w:t>Vaccins inactivés : réaction précoce durant les 3 premiers jours : douleur, infiltration</w:t>
      </w:r>
    </w:p>
    <w:p>
      <w:pPr>
        <w:numPr>
          <w:ilvl w:val="1"/>
          <w:numId w:val="33"/>
        </w:numPr>
      </w:pPr>
      <w:r>
        <w:rPr/>
        <w:t>BCG : réaction différée entre 3ème-12ème semaine : lésion suppurée + adénite satellite (</w:t>
      </w:r>
      <w:r>
        <w:rPr/>
        <w:t>BCGite</w:t>
      </w:r>
      <w:r>
        <w:rPr/>
        <w:t xml:space="preserve">) </w:t>
      </w:r>
      <w:r>
        <w:rPr/>
        <w:br/>
      </w:r>
    </w:p>
    <w:p>
      <w:pPr>
        <w:numPr>
          <w:ilvl w:val="0"/>
          <w:numId w:val="33"/>
        </w:numPr>
      </w:pPr>
      <w:r>
        <w:rPr>
          <w:b/>
        </w:rPr>
        <w:t>Episode fébrile pendant 1-3 jours</w:t>
      </w:r>
    </w:p>
    <w:p>
      <w:pPr>
        <w:numPr>
          <w:ilvl w:val="1"/>
          <w:numId w:val="33"/>
        </w:numPr>
      </w:pPr>
      <w:r>
        <w:rPr/>
        <w:t>Vaccins inactivés : précoce durant les 3 premiers jours</w:t>
      </w:r>
    </w:p>
    <w:p>
      <w:pPr>
        <w:numPr>
          <w:ilvl w:val="1"/>
          <w:numId w:val="33"/>
        </w:numPr>
      </w:pPr>
      <w:r>
        <w:rPr/>
        <w:t>Vaccins vivants (rougeole, fièvre) : différée entre 5ème-11ème jour</w:t>
      </w:r>
      <w:r>
        <w:rPr/>
        <w:br/>
      </w:r>
    </w:p>
    <w:p>
      <w:pPr>
        <w:numPr>
          <w:ilvl w:val="0"/>
          <w:numId w:val="33"/>
        </w:numPr>
      </w:pPr>
      <w:r>
        <w:rPr>
          <w:b/>
        </w:rPr>
        <w:t xml:space="preserve">Convulsions hyperthermiques : vaccins coqueluche, rougeole </w:t>
      </w:r>
      <w:r>
        <w:rPr>
          <w:b/>
        </w:rPr>
        <w:br/>
      </w:r>
    </w:p>
    <w:p>
      <w:pPr>
        <w:numPr>
          <w:ilvl w:val="0"/>
          <w:numId w:val="33"/>
        </w:numPr>
      </w:pPr>
      <w:r>
        <w:rPr>
          <w:b/>
        </w:rPr>
        <w:t xml:space="preserve">Eruption cutanée </w:t>
      </w:r>
    </w:p>
    <w:p>
      <w:pPr>
        <w:numPr>
          <w:ilvl w:val="1"/>
          <w:numId w:val="33"/>
        </w:numPr>
      </w:pPr>
      <w:r>
        <w:rPr/>
        <w:t xml:space="preserve">Vaccins inactivés : éruption allergique précoce </w:t>
      </w:r>
    </w:p>
    <w:p>
      <w:pPr>
        <w:numPr>
          <w:ilvl w:val="1"/>
          <w:numId w:val="33"/>
        </w:numPr>
      </w:pPr>
      <w:r>
        <w:rPr/>
        <w:t>Vaccin rougeole : éruption infectieuse différée</w:t>
      </w:r>
      <w:r>
        <w:rPr/>
        <w:br/>
      </w:r>
    </w:p>
    <w:p>
      <w:pPr>
        <w:numPr>
          <w:ilvl w:val="0"/>
          <w:numId w:val="33"/>
        </w:numPr>
      </w:pPr>
      <w:r>
        <w:rPr>
          <w:b/>
        </w:rPr>
        <w:t xml:space="preserve">Parotidite, réaction méningée (anti-ourlien) </w:t>
      </w:r>
    </w:p>
    <w:p>
      <w:pPr>
        <w:numPr>
          <w:ilvl w:val="0"/>
          <w:numId w:val="33"/>
        </w:numPr>
      </w:pPr>
      <w:r>
        <w:rPr>
          <w:b/>
        </w:rPr>
        <w:t xml:space="preserve">Arthralgies chez l'adulte (vaccins rubéole, hépatite B) </w:t>
      </w:r>
    </w:p>
    <w:p>
      <w:pPr/>
    </w:p>
    <w:p>
      <w:pPr>
        <w:pStyle w:val="Heading2"/>
        <w:numPr>
          <w:ilvl w:val="0"/>
          <w:numId w:val="63"/>
        </w:numPr>
      </w:pPr>
      <w:r>
        <w:rPr/>
        <w:t>CALENDRIER VACCINAL</w:t>
      </w:r>
    </w:p>
    <w:p>
      <w:pPr>
        <w:pStyle w:val="Heading3"/>
      </w:pPr>
      <w:r>
        <w:rPr/>
        <w:t>Programme Elargi de Vaccination à Madagascar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/>
            <w:r>
              <w:rPr>
                <w:color w:val="FFFFFF"/>
              </w:rPr>
              <w:t>Age</w:t>
            </w:r>
          </w:p>
        </w:tc>
        <w:tc>
          <w:tcPr>
            <w:tcW w:type="dxa" w:w="4621"/>
          </w:tcPr>
          <w:p/>
          <w:p>
            <w:pPr/>
            <w:r>
              <w:rPr>
                <w:color w:val="FFFFFF"/>
              </w:rPr>
              <w:t>Vaccins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 xml:space="preserve">Naissance (avant 14 jours) </w:t>
            </w:r>
          </w:p>
        </w:tc>
        <w:tc>
          <w:tcPr>
            <w:tcW w:type="dxa" w:w="4621"/>
          </w:tcPr>
          <w:p/>
          <w:p>
            <w:pPr/>
            <w:r>
              <w:rPr/>
              <w:t>BCG-polio 0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6 semaines</w:t>
            </w:r>
          </w:p>
        </w:tc>
        <w:tc>
          <w:tcPr>
            <w:tcW w:type="dxa" w:w="4621"/>
          </w:tcPr>
          <w:p/>
          <w:p>
            <w:pPr/>
            <w:r>
              <w:rPr/>
              <w:t>DTCP HepB Hib-1 Rota-1 PCV10-1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10 semaines</w:t>
            </w:r>
          </w:p>
        </w:tc>
        <w:tc>
          <w:tcPr>
            <w:tcW w:type="dxa" w:w="4621"/>
          </w:tcPr>
          <w:p/>
          <w:p>
            <w:pPr/>
            <w:r>
              <w:rPr/>
              <w:t>DTCP HepB Hib-2 Rota-2 PCV10-2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14 semaines</w:t>
            </w:r>
          </w:p>
        </w:tc>
        <w:tc>
          <w:tcPr>
            <w:tcW w:type="dxa" w:w="4621"/>
          </w:tcPr>
          <w:p/>
          <w:p>
            <w:pPr/>
            <w:r>
              <w:rPr/>
              <w:t>DTCP HepB Hib-3 PCV10-3</w:t>
            </w:r>
          </w:p>
        </w:tc>
      </w:tr>
      <w:tr>
        <w:tc>
          <w:tcPr>
            <w:tcW w:type="dxa" w:w="4621"/>
          </w:tcPr>
          <w:p/>
          <w:p>
            <w:pPr/>
            <w:r>
              <w:rPr/>
              <w:t>9 mois</w:t>
            </w:r>
          </w:p>
        </w:tc>
        <w:tc>
          <w:tcPr>
            <w:tcW w:type="dxa" w:w="4621"/>
          </w:tcPr>
          <w:p/>
          <w:p>
            <w:pPr/>
            <w:r>
              <w:rPr/>
              <w:t>Anti-rougeoleux</w:t>
            </w:r>
          </w:p>
        </w:tc>
      </w:tr>
    </w:tbl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