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VARICELLE</w:t>
      </w:r>
    </w:p>
    <w:p>
      <w:pPr>
        <w:numPr>
          <w:ilvl w:val="0"/>
          <w:numId w:val="21"/>
        </w:numPr>
      </w:pPr>
      <w:r>
        <w:rPr/>
        <w:t xml:space="preserve">Primo-infection par VZV (Virus Zona Varicelle) </w:t>
      </w:r>
    </w:p>
    <w:p>
      <w:pPr>
        <w:numPr>
          <w:ilvl w:val="0"/>
          <w:numId w:val="21"/>
        </w:numPr>
      </w:pPr>
      <w:r>
        <w:rPr/>
        <w:t>Maladie fréquente, 90% avant 10 ans</w:t>
      </w:r>
    </w:p>
    <w:p>
      <w:pPr>
        <w:numPr>
          <w:ilvl w:val="0"/>
          <w:numId w:val="21"/>
        </w:numPr>
      </w:pPr>
      <w:r>
        <w:rPr/>
        <w:t>Formes sévères chez</w:t>
      </w:r>
    </w:p>
    <w:p>
      <w:pPr>
        <w:numPr>
          <w:ilvl w:val="1"/>
          <w:numId w:val="21"/>
        </w:numPr>
      </w:pPr>
      <w:r>
        <w:rPr/>
        <w:t>&lt;1 an</w:t>
      </w:r>
    </w:p>
    <w:p>
      <w:pPr>
        <w:numPr>
          <w:ilvl w:val="1"/>
          <w:numId w:val="21"/>
        </w:numPr>
      </w:pPr>
      <w:r>
        <w:rPr/>
        <w:t>Adulte</w:t>
      </w:r>
    </w:p>
    <w:p>
      <w:pPr>
        <w:numPr>
          <w:ilvl w:val="1"/>
          <w:numId w:val="21"/>
        </w:numPr>
      </w:pPr>
      <w:r>
        <w:rPr/>
        <w:t>Femmes enceintes</w:t>
      </w:r>
    </w:p>
    <w:p>
      <w:pPr>
        <w:numPr>
          <w:ilvl w:val="1"/>
          <w:numId w:val="21"/>
        </w:numPr>
      </w:pPr>
      <w:r>
        <w:rPr/>
        <w:t>Immunodéprimés</w:t>
      </w:r>
    </w:p>
    <w:p>
      <w:pPr>
        <w:numPr>
          <w:ilvl w:val="0"/>
          <w:numId w:val="21"/>
        </w:numPr>
      </w:pPr>
      <w:r>
        <w:rPr/>
        <w:t>Agent : Herpès virus type 3 ou VZV</w:t>
      </w:r>
    </w:p>
    <w:p>
      <w:pPr>
        <w:numPr>
          <w:ilvl w:val="0"/>
          <w:numId w:val="21"/>
        </w:numPr>
      </w:pPr>
      <w:r>
        <w:rPr>
          <w:b/>
        </w:rPr>
        <w:t xml:space="preserve">Transmission directe </w:t>
      </w:r>
    </w:p>
    <w:p>
      <w:pPr>
        <w:numPr>
          <w:ilvl w:val="1"/>
          <w:numId w:val="21"/>
        </w:numPr>
      </w:pPr>
      <w:r>
        <w:rPr/>
        <w:t>Par</w:t>
      </w:r>
      <w:r>
        <w:rPr/>
        <w:t xml:space="preserve"> les lésions cutanéomuqueuses </w:t>
      </w:r>
    </w:p>
    <w:p>
      <w:pPr>
        <w:numPr>
          <w:ilvl w:val="1"/>
          <w:numId w:val="21"/>
        </w:numPr>
      </w:pPr>
      <w:r>
        <w:rPr/>
        <w:t>Ou voie respiratoire 24-48 h précédant l'éruption</w:t>
      </w:r>
    </w:p>
    <w:p>
      <w:pPr>
        <w:numPr>
          <w:ilvl w:val="0"/>
          <w:numId w:val="21"/>
        </w:numPr>
      </w:pPr>
      <w:r>
        <w:rPr>
          <w:b/>
        </w:rPr>
        <w:t>Incubation : 14 j</w:t>
      </w:r>
    </w:p>
    <w:p>
      <w:pPr>
        <w:numPr>
          <w:ilvl w:val="0"/>
          <w:numId w:val="21"/>
        </w:numPr>
      </w:pPr>
      <w:r>
        <w:rPr>
          <w:b/>
        </w:rPr>
        <w:t>Contagiosité : 1à 2 j avant l'apparition des vésicules jusqu'à J7</w:t>
      </w:r>
    </w:p>
    <w:p>
      <w:pPr>
        <w:numPr>
          <w:ilvl w:val="0"/>
          <w:numId w:val="21"/>
        </w:numPr>
      </w:pPr>
      <w:r>
        <w:rPr>
          <w:u w:val="single"/>
        </w:rPr>
        <w:t>Immunité durable</w:t>
      </w:r>
    </w:p>
    <w:p>
      <w:pPr/>
    </w:p>
    <w:p>
      <w:pPr>
        <w:pStyle w:val="Heading2"/>
        <w:numPr>
          <w:ilvl w:val="0"/>
          <w:numId w:val="65"/>
        </w:numPr>
      </w:pPr>
      <w:r>
        <w:rPr/>
        <w:t>DIAGNOSTIC</w:t>
      </w:r>
    </w:p>
    <w:p>
      <w:pPr>
        <w:pStyle w:val="Heading3"/>
        <w:numPr>
          <w:ilvl w:val="0"/>
          <w:numId w:val="66"/>
        </w:numPr>
      </w:pPr>
      <w:r>
        <w:rPr/>
        <w:t>Anamnèse</w:t>
      </w:r>
    </w:p>
    <w:p>
      <w:pPr>
        <w:numPr>
          <w:ilvl w:val="1"/>
          <w:numId w:val="22"/>
        </w:numPr>
      </w:pPr>
      <w:r>
        <w:rPr/>
        <w:t>Absence d'antécédent de varicelle ou de vaccin</w:t>
      </w:r>
    </w:p>
    <w:p>
      <w:pPr>
        <w:numPr>
          <w:ilvl w:val="1"/>
          <w:numId w:val="22"/>
        </w:numPr>
      </w:pPr>
      <w:r>
        <w:rPr/>
        <w:t>Contage 2 semaines avant l'éruption</w:t>
      </w:r>
      <w:r>
        <w:rPr/>
        <w:br/>
      </w:r>
    </w:p>
    <w:p>
      <w:pPr>
        <w:pStyle w:val="Heading3"/>
        <w:numPr>
          <w:ilvl w:val="0"/>
          <w:numId w:val="66"/>
        </w:numPr>
      </w:pPr>
      <w:r>
        <w:rPr/>
        <w:t>Invasion (2jours)</w:t>
      </w:r>
      <w:r>
        <w:rPr/>
        <w:t xml:space="preserve"> </w:t>
      </w:r>
    </w:p>
    <w:p>
      <w:pPr>
        <w:numPr>
          <w:ilvl w:val="1"/>
          <w:numId w:val="22"/>
        </w:numPr>
      </w:pPr>
      <w:r>
        <w:rPr/>
        <w:t>Fièvre modérée</w:t>
      </w:r>
    </w:p>
    <w:p>
      <w:pPr>
        <w:numPr>
          <w:ilvl w:val="1"/>
          <w:numId w:val="22"/>
        </w:numPr>
      </w:pPr>
      <w:r>
        <w:rPr/>
        <w:t xml:space="preserve">Rash scarlatiniforme fugace pré-éruptif (rare) </w:t>
      </w:r>
      <w:r>
        <w:rPr/>
        <w:br/>
      </w:r>
    </w:p>
    <w:p>
      <w:pPr>
        <w:pStyle w:val="Heading3"/>
        <w:numPr>
          <w:ilvl w:val="0"/>
          <w:numId w:val="66"/>
        </w:numPr>
      </w:pPr>
      <w:r>
        <w:rPr/>
        <w:t>Phase éruptive</w:t>
      </w:r>
    </w:p>
    <w:p>
      <w:pPr>
        <w:numPr>
          <w:ilvl w:val="1"/>
          <w:numId w:val="22"/>
        </w:numPr>
      </w:pPr>
      <w:r>
        <w:rPr/>
        <w:t>2 semaines après le contage</w:t>
      </w:r>
    </w:p>
    <w:p>
      <w:pPr>
        <w:numPr>
          <w:ilvl w:val="1"/>
          <w:numId w:val="22"/>
        </w:numPr>
      </w:pPr>
      <w:r>
        <w:rPr>
          <w:b/>
        </w:rPr>
        <w:t>Exanthème</w:t>
      </w:r>
    </w:p>
    <w:p>
      <w:pPr>
        <w:numPr>
          <w:ilvl w:val="2"/>
          <w:numId w:val="22"/>
        </w:numPr>
      </w:pPr>
      <w:r>
        <w:rPr/>
        <w:t>Vésicules devenant croûteuses et</w:t>
      </w:r>
      <w:r>
        <w:rPr>
          <w:b/>
        </w:rPr>
        <w:t xml:space="preserve"> prurigineuses de J4 à J10</w:t>
      </w:r>
    </w:p>
    <w:p>
      <w:pPr>
        <w:numPr>
          <w:ilvl w:val="2"/>
          <w:numId w:val="22"/>
        </w:numPr>
      </w:pPr>
      <w:r>
        <w:rPr/>
        <w:t>Siège</w:t>
      </w:r>
      <w:r>
        <w:rPr/>
        <w:t xml:space="preserve"> diffus, </w:t>
      </w:r>
      <w:r>
        <w:rPr>
          <w:b/>
        </w:rPr>
        <w:t xml:space="preserve">y compris le </w:t>
      </w:r>
      <w:r>
        <w:rPr>
          <w:b/>
          <w:u w:val="single"/>
        </w:rPr>
        <w:t>cuir chevelu</w:t>
      </w:r>
    </w:p>
    <w:p>
      <w:pPr>
        <w:numPr>
          <w:ilvl w:val="2"/>
          <w:numId w:val="22"/>
        </w:numPr>
      </w:pPr>
      <w:r>
        <w:rPr/>
        <w:t xml:space="preserve">Évolution : </w:t>
      </w:r>
      <w:r>
        <w:rPr>
          <w:b/>
        </w:rPr>
        <w:t>2 à 3 poussées successives (</w:t>
      </w:r>
      <w:r>
        <w:rPr/>
        <w:t xml:space="preserve">éléments d'âge différent) </w:t>
      </w:r>
      <w:r>
        <w:rPr/>
        <w:br/>
      </w:r>
    </w:p>
    <w:p>
      <w:pPr>
        <w:numPr>
          <w:ilvl w:val="1"/>
          <w:numId w:val="22"/>
        </w:numPr>
      </w:pPr>
      <w:r>
        <w:rPr/>
        <w:t>Fièvre modérée</w:t>
      </w:r>
    </w:p>
    <w:p>
      <w:pPr>
        <w:numPr>
          <w:ilvl w:val="1"/>
          <w:numId w:val="22"/>
        </w:numPr>
      </w:pPr>
      <w:r>
        <w:rPr/>
        <w:t>Signes associés :</w:t>
      </w:r>
    </w:p>
    <w:p>
      <w:pPr>
        <w:numPr>
          <w:ilvl w:val="2"/>
          <w:numId w:val="22"/>
        </w:numPr>
      </w:pPr>
      <w:r>
        <w:rPr/>
        <w:t xml:space="preserve">Énanthème </w:t>
      </w:r>
      <w:r>
        <w:rPr/>
        <w:t>buccal</w:t>
      </w:r>
      <w:r>
        <w:rPr/>
        <w:t xml:space="preserve"> érosif</w:t>
      </w:r>
    </w:p>
    <w:p>
      <w:pPr>
        <w:numPr>
          <w:ilvl w:val="2"/>
          <w:numId w:val="22"/>
        </w:numPr>
      </w:pPr>
      <w:r>
        <w:rPr/>
        <w:t>Micropolyadénopathie</w:t>
      </w:r>
    </w:p>
    <w:p>
      <w:pPr>
        <w:numPr>
          <w:ilvl w:val="2"/>
          <w:numId w:val="22"/>
        </w:numPr>
      </w:pPr>
      <w:r>
        <w:rPr>
          <w:i/>
        </w:rPr>
        <w:t xml:space="preserve">État général souvent </w:t>
      </w:r>
      <w:r>
        <w:rPr>
          <w:b/>
          <w:i/>
        </w:rPr>
        <w:t xml:space="preserve">bien conservé, </w:t>
      </w:r>
      <w:r>
        <w:rPr>
          <w:i/>
        </w:rPr>
        <w:t>éducation à ne pas se gratter++</w:t>
      </w:r>
      <w:r>
        <w:rPr>
          <w:i/>
        </w:rPr>
        <w:br/>
      </w:r>
    </w:p>
    <w:p>
      <w:pPr>
        <w:pStyle w:val="Heading2"/>
        <w:numPr>
          <w:ilvl w:val="0"/>
          <w:numId w:val="65"/>
        </w:numPr>
      </w:pPr>
      <w:r>
        <w:rPr/>
        <w:t>Complications :</w:t>
      </w:r>
    </w:p>
    <w:p>
      <w:pPr>
        <w:numPr>
          <w:ilvl w:val="1"/>
          <w:numId w:val="22"/>
        </w:numPr>
      </w:pPr>
      <w:r>
        <w:rPr>
          <w:b/>
        </w:rPr>
        <w:t>Surinfections bactériennes</w:t>
      </w:r>
    </w:p>
    <w:p>
      <w:pPr>
        <w:numPr>
          <w:ilvl w:val="2"/>
          <w:numId w:val="22"/>
        </w:numPr>
      </w:pPr>
      <w:r>
        <w:rPr>
          <w:i/>
        </w:rPr>
        <w:t xml:space="preserve">Staphylococcus aureus, Streptococcus pyogenes </w:t>
      </w:r>
      <w:r>
        <w:rPr>
          <w:i/>
        </w:rPr>
        <w:br/>
      </w:r>
    </w:p>
    <w:p>
      <w:pPr>
        <w:numPr>
          <w:ilvl w:val="1"/>
          <w:numId w:val="22"/>
        </w:numPr>
      </w:pPr>
      <w:r>
        <w:rPr>
          <w:b/>
        </w:rPr>
        <w:t xml:space="preserve">Autres complications </w:t>
      </w:r>
    </w:p>
    <w:p>
      <w:pPr>
        <w:numPr>
          <w:ilvl w:val="2"/>
          <w:numId w:val="22"/>
        </w:numPr>
      </w:pPr>
      <w:r>
        <w:rPr>
          <w:b/>
        </w:rPr>
        <w:t xml:space="preserve">Neurologique : </w:t>
      </w:r>
    </w:p>
    <w:p>
      <w:pPr>
        <w:numPr>
          <w:ilvl w:val="3"/>
          <w:numId w:val="22"/>
        </w:numPr>
      </w:pPr>
      <w:r>
        <w:rPr/>
        <w:t>Crises fébriles</w:t>
      </w:r>
    </w:p>
    <w:p>
      <w:pPr>
        <w:numPr>
          <w:ilvl w:val="3"/>
          <w:numId w:val="22"/>
        </w:numPr>
      </w:pPr>
      <w:r>
        <w:rPr/>
        <w:t>Cérébellite</w:t>
      </w:r>
    </w:p>
    <w:p>
      <w:pPr>
        <w:numPr>
          <w:ilvl w:val="2"/>
          <w:numId w:val="22"/>
        </w:numPr>
      </w:pPr>
      <w:r>
        <w:rPr/>
        <w:t xml:space="preserve">Syndrome de Reye (si aspirine :-&gt; lésion and peau, atteinte hépatique) </w:t>
      </w:r>
    </w:p>
    <w:p>
      <w:pPr>
        <w:numPr>
          <w:ilvl w:val="2"/>
          <w:numId w:val="22"/>
        </w:numPr>
      </w:pPr>
      <w:r>
        <w:rPr/>
        <w:t>Respiratoires, hématologiques, hépatiques</w:t>
      </w:r>
    </w:p>
    <w:p>
      <w:pPr/>
    </w:p>
    <w:p>
      <w:pPr>
        <w:pStyle w:val="Heading2"/>
        <w:numPr>
          <w:ilvl w:val="0"/>
          <w:numId w:val="65"/>
        </w:numPr>
      </w:pPr>
      <w:r>
        <w:rPr/>
        <w:t>Examens paracliniques</w:t>
      </w:r>
    </w:p>
    <w:p>
      <w:pPr>
        <w:numPr>
          <w:ilvl w:val="0"/>
          <w:numId w:val="23"/>
        </w:numPr>
      </w:pPr>
      <w:r>
        <w:rPr/>
        <w:t>Diagnostic clinique +++</w:t>
      </w:r>
    </w:p>
    <w:p>
      <w:pPr>
        <w:numPr>
          <w:ilvl w:val="0"/>
          <w:numId w:val="23"/>
        </w:numPr>
      </w:pPr>
      <w:r>
        <w:rPr/>
        <w:t xml:space="preserve">Examens de confirmation : </w:t>
      </w:r>
      <w:r>
        <w:rPr>
          <w:i/>
        </w:rPr>
        <w:t xml:space="preserve"> Ex, chez les immunodéprimés</w:t>
      </w:r>
    </w:p>
    <w:p>
      <w:pPr>
        <w:numPr>
          <w:ilvl w:val="1"/>
          <w:numId w:val="23"/>
        </w:numPr>
      </w:pPr>
      <w:r>
        <w:rPr/>
        <w:t>PCR spécifique VZV</w:t>
      </w:r>
    </w:p>
    <w:p>
      <w:pPr>
        <w:numPr>
          <w:ilvl w:val="1"/>
          <w:numId w:val="23"/>
        </w:numPr>
      </w:pPr>
      <w:r>
        <w:rPr/>
        <w:t>IgM spécifiques sériques en phase aiguë</w:t>
      </w:r>
    </w:p>
    <w:p>
      <w:pPr/>
    </w:p>
    <w:p>
      <w:pPr>
        <w:pStyle w:val="Heading2"/>
        <w:numPr>
          <w:ilvl w:val="0"/>
          <w:numId w:val="65"/>
        </w:numPr>
      </w:pPr>
      <w:r>
        <w:rPr/>
        <w:t>Traitement</w:t>
      </w:r>
    </w:p>
    <w:p>
      <w:pPr>
        <w:numPr>
          <w:ilvl w:val="0"/>
          <w:numId w:val="24"/>
        </w:numPr>
      </w:pPr>
      <w:r>
        <w:rPr/>
        <w:t>Ambulatoire et symptomatique pour les formes habituelles</w:t>
      </w:r>
    </w:p>
    <w:p>
      <w:pPr>
        <w:numPr>
          <w:ilvl w:val="1"/>
          <w:numId w:val="24"/>
        </w:numPr>
      </w:pPr>
      <w:r>
        <w:rPr>
          <w:b/>
        </w:rPr>
        <w:t xml:space="preserve">Lésions cutanées : </w:t>
      </w:r>
    </w:p>
    <w:p>
      <w:pPr>
        <w:numPr>
          <w:ilvl w:val="2"/>
          <w:numId w:val="24"/>
        </w:numPr>
      </w:pPr>
      <w:r>
        <w:rPr/>
        <w:t>Antiseptique (</w:t>
      </w:r>
      <w:r>
        <w:rPr>
          <w:i/>
        </w:rPr>
        <w:t xml:space="preserve">non alcool, non de couleur rouge, mais à base de chlorhexidine 2 fois par jour) </w:t>
      </w:r>
    </w:p>
    <w:p>
      <w:pPr>
        <w:numPr>
          <w:ilvl w:val="2"/>
          <w:numId w:val="24"/>
        </w:numPr>
      </w:pPr>
      <w:r>
        <w:rPr/>
        <w:t>Ongles coupés</w:t>
      </w:r>
    </w:p>
    <w:p>
      <w:pPr>
        <w:numPr>
          <w:ilvl w:val="2"/>
          <w:numId w:val="24"/>
        </w:numPr>
      </w:pPr>
      <w:r>
        <w:rPr/>
        <w:t>Antihistaminique</w:t>
      </w:r>
    </w:p>
    <w:p>
      <w:pPr>
        <w:numPr>
          <w:ilvl w:val="1"/>
          <w:numId w:val="24"/>
        </w:numPr>
      </w:pPr>
      <w:r>
        <w:rPr>
          <w:b/>
        </w:rPr>
        <w:t>Fièvre :</w:t>
      </w:r>
      <w:r>
        <w:rPr/>
        <w:t xml:space="preserve"> moyens physiques, paracétamol</w:t>
      </w:r>
    </w:p>
    <w:p>
      <w:pPr>
        <w:numPr>
          <w:ilvl w:val="1"/>
          <w:numId w:val="24"/>
        </w:numPr>
      </w:pPr>
      <w:r>
        <w:rPr/>
        <w:t>Contre-indication</w:t>
      </w:r>
      <w:r>
        <w:rPr/>
        <w:t xml:space="preserve"> des AINS</w:t>
      </w:r>
    </w:p>
    <w:p>
      <w:pPr>
        <w:numPr>
          <w:ilvl w:val="1"/>
          <w:numId w:val="24"/>
        </w:numPr>
      </w:pPr>
      <w:r>
        <w:rPr/>
        <w:t xml:space="preserve">Antibiotique si surinfections bactériennes </w:t>
      </w:r>
    </w:p>
    <w:p>
      <w:pPr>
        <w:numPr>
          <w:ilvl w:val="1"/>
          <w:numId w:val="24"/>
        </w:numPr>
      </w:pPr>
      <w:r>
        <w:rPr>
          <w:i/>
        </w:rPr>
        <w:t>Afaka</w:t>
      </w:r>
      <w:r>
        <w:rPr>
          <w:i/>
        </w:rPr>
        <w:t xml:space="preserve"> </w:t>
      </w:r>
      <w:r>
        <w:rPr>
          <w:i/>
        </w:rPr>
        <w:t>mandro</w:t>
      </w:r>
      <w:r>
        <w:rPr>
          <w:i/>
        </w:rPr>
        <w:t xml:space="preserve"> fa 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milona</w:t>
      </w:r>
      <w:r>
        <w:rPr>
          <w:i/>
        </w:rPr>
        <w:t xml:space="preserve"> </w:t>
      </w:r>
      <w:r>
        <w:rPr>
          <w:i/>
        </w:rPr>
        <w:t>ela</w:t>
      </w:r>
      <w:r>
        <w:rPr>
          <w:i/>
        </w:rPr>
        <w:t xml:space="preserve"> </w:t>
      </w:r>
      <w:r>
        <w:rPr>
          <w:i/>
        </w:rPr>
        <w:t>be</w:t>
      </w:r>
      <w:r>
        <w:rPr>
          <w:i/>
        </w:rPr>
        <w:t xml:space="preserve"> :</w:t>
      </w:r>
      <w:r>
        <w:rPr>
          <w:i/>
        </w:rPr>
        <w:t xml:space="preserve"> </w:t>
      </w:r>
      <w:r>
        <w:rPr>
          <w:i/>
        </w:rPr>
        <w:t>mandro</w:t>
      </w:r>
      <w:r>
        <w:rPr>
          <w:i/>
        </w:rPr>
        <w:t xml:space="preserve"> </w:t>
      </w:r>
      <w:r>
        <w:rPr>
          <w:i/>
        </w:rPr>
        <w:t>aingana</w:t>
      </w:r>
      <w:r>
        <w:rPr>
          <w:i/>
        </w:rPr>
        <w:t xml:space="preserve">++, 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misy</w:t>
      </w:r>
      <w:r>
        <w:rPr>
          <w:i/>
        </w:rPr>
        <w:t xml:space="preserve"> </w:t>
      </w:r>
      <w:r>
        <w:rPr>
          <w:i/>
        </w:rPr>
        <w:t>sakafo</w:t>
      </w:r>
      <w:r>
        <w:rPr>
          <w:i/>
        </w:rPr>
        <w:t xml:space="preserve"> </w:t>
      </w:r>
      <w:r>
        <w:rPr>
          <w:i/>
        </w:rPr>
        <w:t>fady</w:t>
      </w:r>
      <w:r>
        <w:rPr>
          <w:i/>
        </w:rPr>
        <w:t>:</w:t>
      </w:r>
      <w:r>
        <w:rPr>
          <w:i/>
        </w:rPr>
        <w:t xml:space="preserve"> </w:t>
      </w:r>
      <w:r>
        <w:rPr>
          <w:i/>
        </w:rPr>
        <w:t>masaka</w:t>
      </w:r>
      <w:r>
        <w:rPr>
          <w:i/>
        </w:rPr>
        <w:t xml:space="preserve"> </w:t>
      </w:r>
      <w:r>
        <w:rPr>
          <w:i/>
        </w:rPr>
        <w:t>sy</w:t>
      </w:r>
      <w:r>
        <w:rPr>
          <w:i/>
        </w:rPr>
        <w:t xml:space="preserve"> </w:t>
      </w:r>
      <w:r>
        <w:rPr>
          <w:i/>
        </w:rPr>
        <w:t>madio</w:t>
      </w:r>
      <w:r>
        <w:rPr>
          <w:i/>
        </w:rPr>
        <w:t xml:space="preserve"> </w:t>
      </w:r>
      <w:r>
        <w:rPr>
          <w:i/>
        </w:rPr>
        <w:t>tsara</w:t>
      </w:r>
      <w:r>
        <w:rPr>
          <w:i/>
        </w:rPr>
        <w:t xml:space="preserve"> dia </w:t>
      </w:r>
      <w:r>
        <w:rPr>
          <w:i/>
        </w:rPr>
        <w:t>ampy</w:t>
      </w:r>
    </w:p>
    <w:p>
      <w:pPr/>
    </w:p>
    <w:p>
      <w:pPr>
        <w:pStyle w:val="Heading2"/>
        <w:numPr>
          <w:ilvl w:val="0"/>
          <w:numId w:val="65"/>
        </w:numPr>
      </w:pPr>
      <w:r>
        <w:rPr/>
        <w:t>Prévention</w:t>
      </w:r>
    </w:p>
    <w:p>
      <w:pPr>
        <w:numPr>
          <w:ilvl w:val="0"/>
          <w:numId w:val="25"/>
        </w:numPr>
      </w:pPr>
      <w:r>
        <w:rPr/>
        <w:t>Fréquentation de la collectivité non recommandée</w:t>
      </w:r>
    </w:p>
    <w:p>
      <w:pPr>
        <w:numPr>
          <w:ilvl w:val="0"/>
          <w:numId w:val="25"/>
        </w:numPr>
      </w:pPr>
      <w:r>
        <w:rPr/>
        <w:t>Pas d'éviction scolaire obligatoire</w:t>
      </w:r>
    </w:p>
    <w:p>
      <w:pPr>
        <w:numPr>
          <w:ilvl w:val="0"/>
          <w:numId w:val="25"/>
        </w:numPr>
      </w:pPr>
      <w:r>
        <w:rPr/>
        <w:t>Éviter le contact avec les sujets à risque</w:t>
      </w:r>
    </w:p>
    <w:p>
      <w:pPr>
        <w:numPr>
          <w:ilvl w:val="0"/>
          <w:numId w:val="25"/>
        </w:numPr>
      </w:pPr>
      <w:r>
        <w:rPr/>
        <w:t>Si hospitalisation : isolement+++</w:t>
      </w:r>
    </w:p>
    <w:p>
      <w:pPr>
        <w:numPr>
          <w:ilvl w:val="0"/>
          <w:numId w:val="25"/>
        </w:numPr>
      </w:pPr>
      <w:r>
        <w:rPr/>
        <w:t>Vaccination non recommandée systématiquement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