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VOMISSEMENTS CHEZ L'ENFANT ET LE NOURRISSON</w:t>
      </w:r>
    </w:p>
    <w:p>
      <w:pPr>
        <w:pStyle w:val="Heading2"/>
      </w:pPr>
      <w:r>
        <w:rPr/>
        <w:t xml:space="preserve">Intérêts </w:t>
      </w:r>
    </w:p>
    <w:p>
      <w:pPr>
        <w:numPr>
          <w:ilvl w:val="0"/>
          <w:numId w:val="19"/>
        </w:numPr>
      </w:pPr>
      <w:r>
        <w:rPr/>
        <w:t>Motif de consultation fréquente en Pédiatrie</w:t>
      </w:r>
    </w:p>
    <w:p>
      <w:pPr>
        <w:numPr>
          <w:ilvl w:val="0"/>
          <w:numId w:val="19"/>
        </w:numPr>
      </w:pPr>
      <w:r>
        <w:rPr/>
        <w:t>Bonne orientation sémiologique</w:t>
      </w:r>
    </w:p>
    <w:p>
      <w:pPr>
        <w:numPr>
          <w:ilvl w:val="1"/>
          <w:numId w:val="19"/>
        </w:numPr>
      </w:pPr>
      <w:r>
        <w:rPr/>
        <w:t>Détermine l'origine du vomissement</w:t>
      </w:r>
    </w:p>
    <w:p>
      <w:pPr>
        <w:numPr>
          <w:ilvl w:val="1"/>
          <w:numId w:val="19"/>
        </w:numPr>
      </w:pPr>
      <w:r>
        <w:rPr/>
        <w:t>Retentissement sur l'état de l'enfant</w:t>
      </w:r>
    </w:p>
    <w:p>
      <w:pPr>
        <w:numPr>
          <w:ilvl w:val="0"/>
          <w:numId w:val="19"/>
        </w:numPr>
      </w:pPr>
      <w:r>
        <w:rPr/>
        <w:t>Etiologies urgentes à maîtriser</w:t>
      </w:r>
    </w:p>
    <w:p>
      <w:pPr/>
    </w:p>
    <w:p>
      <w:pPr>
        <w:pStyle w:val="Heading2"/>
      </w:pPr>
      <w:r>
        <w:rPr/>
        <w:t>Objectifs</w:t>
      </w:r>
    </w:p>
    <w:p>
      <w:pPr>
        <w:numPr>
          <w:ilvl w:val="0"/>
          <w:numId w:val="20"/>
        </w:numPr>
      </w:pPr>
      <w:r>
        <w:rPr/>
        <w:t>Argumenter les principales hypothèses diagnostiques</w:t>
      </w:r>
    </w:p>
    <w:p>
      <w:pPr>
        <w:numPr>
          <w:ilvl w:val="0"/>
          <w:numId w:val="20"/>
        </w:numPr>
      </w:pPr>
      <w:r>
        <w:rPr/>
        <w:t>Justifier les examens complémentaires</w:t>
      </w:r>
    </w:p>
    <w:p>
      <w:pPr>
        <w:numPr>
          <w:ilvl w:val="0"/>
          <w:numId w:val="20"/>
        </w:numPr>
      </w:pPr>
      <w:r>
        <w:rPr/>
        <w:t>Argumenter l'attitude thérapeutique</w:t>
      </w:r>
    </w:p>
    <w:p>
      <w:pPr/>
    </w:p>
    <w:p>
      <w:pPr>
        <w:pStyle w:val="Heading2"/>
      </w:pPr>
      <w:r>
        <w:rPr/>
        <w:t>GÉNÉRALITÉS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21"/>
        </w:numPr>
      </w:pPr>
      <w:r>
        <w:rPr/>
        <w:t>Rejets actifs de tout ou d'une partie du contenu gastrique ou intestinal par la bouche. Ils associent une contraction du diaphragme et des muscles de la paroi abdominale</w:t>
      </w:r>
    </w:p>
    <w:p>
      <w:pPr>
        <w:numPr>
          <w:ilvl w:val="1"/>
          <w:numId w:val="21"/>
        </w:numPr>
      </w:pPr>
      <w:r>
        <w:rPr/>
        <w:t>Souvent associés à des nausées, pâleur, hyperventilation</w:t>
      </w:r>
      <w:r>
        <w:rPr/>
        <w:t xml:space="preserve"> </w:t>
      </w:r>
      <w:r>
        <w:rPr/>
        <w:t>(</w:t>
      </w:r>
      <w:r>
        <w:rPr>
          <w:i/>
        </w:rPr>
        <w:t xml:space="preserve">respiration rapide </w:t>
      </w:r>
      <w:r>
        <w:rPr>
          <w:i/>
        </w:rPr>
        <w:t>et bruyante),</w:t>
      </w:r>
      <w:r>
        <w:rPr/>
        <w:t xml:space="preserve"> sueurs diffuses </w:t>
      </w:r>
      <w:r>
        <w:rPr>
          <w:i/>
        </w:rPr>
        <w:t>et profuse</w:t>
      </w:r>
      <w:r>
        <w:rPr>
          <w:i/>
        </w:rPr>
        <w:br/>
      </w:r>
    </w:p>
    <w:p>
      <w:pPr>
        <w:numPr>
          <w:ilvl w:val="0"/>
          <w:numId w:val="21"/>
        </w:numPr>
      </w:pPr>
      <w:r>
        <w:rPr/>
        <w:t>A différencier d'une RÉGURGITATION</w:t>
      </w:r>
    </w:p>
    <w:p>
      <w:pPr>
        <w:numPr>
          <w:ilvl w:val="1"/>
          <w:numId w:val="21"/>
        </w:numPr>
      </w:pPr>
      <w:r>
        <w:rPr/>
        <w:t>Remontée passive du contenu gastrique sans effort</w:t>
      </w:r>
    </w:p>
    <w:p>
      <w:pPr>
        <w:numPr>
          <w:ilvl w:val="1"/>
          <w:numId w:val="21"/>
        </w:numPr>
      </w:pPr>
      <w:r>
        <w:rPr/>
        <w:t>Fréquente chez le nourrisson après la tétée</w:t>
      </w:r>
      <w:r>
        <w:rPr/>
        <w:br/>
      </w:r>
    </w:p>
    <w:p>
      <w:pPr>
        <w:numPr>
          <w:ilvl w:val="0"/>
          <w:numId w:val="21"/>
        </w:numPr>
      </w:pPr>
      <w:r>
        <w:rPr/>
        <w:t>A différencier du MÉRYCISME</w:t>
      </w:r>
    </w:p>
    <w:p>
      <w:pPr>
        <w:numPr>
          <w:ilvl w:val="1"/>
          <w:numId w:val="21"/>
        </w:numPr>
      </w:pPr>
      <w:r>
        <w:rPr/>
        <w:t>Rumination volontairement régurgitée, remâchée puis à nouveau déglutie</w:t>
      </w:r>
    </w:p>
    <w:p>
      <w:pPr/>
    </w:p>
    <w:p>
      <w:pPr>
        <w:pStyle w:val="Heading2"/>
        <w:numPr>
          <w:ilvl w:val="0"/>
          <w:numId w:val="68"/>
        </w:numPr>
      </w:pPr>
      <w:r>
        <w:rPr/>
        <w:t>DIAGNOSTIC</w:t>
      </w:r>
    </w:p>
    <w:p>
      <w:pPr>
        <w:pStyle w:val="Heading3"/>
        <w:numPr>
          <w:ilvl w:val="0"/>
          <w:numId w:val="69"/>
        </w:numPr>
      </w:pPr>
      <w:r>
        <w:rPr/>
        <w:t>Identifier une urgence</w:t>
      </w:r>
    </w:p>
    <w:p>
      <w:pPr>
        <w:pStyle w:val="Heading4"/>
      </w:pPr>
      <w:r>
        <w:rPr/>
        <w:t>Signes de gravités</w:t>
      </w:r>
    </w:p>
    <w:p>
      <w:pPr>
        <w:numPr>
          <w:ilvl w:val="1"/>
          <w:numId w:val="22"/>
        </w:numPr>
      </w:pPr>
      <w:r>
        <w:rPr/>
        <w:t>Signes de retentissement grave</w:t>
      </w:r>
    </w:p>
    <w:p>
      <w:pPr>
        <w:numPr>
          <w:ilvl w:val="2"/>
          <w:numId w:val="22"/>
        </w:numPr>
      </w:pPr>
      <w:r>
        <w:rPr/>
        <w:t>Hypovolémie, déshydratation aiguë</w:t>
      </w:r>
      <w:r>
        <w:rPr/>
        <w:br/>
      </w:r>
    </w:p>
    <w:p>
      <w:pPr>
        <w:numPr>
          <w:ilvl w:val="1"/>
          <w:numId w:val="22"/>
        </w:numPr>
      </w:pPr>
      <w:r>
        <w:rPr/>
        <w:t>Signes de gravité reliés à l'étiologie</w:t>
      </w:r>
    </w:p>
    <w:p>
      <w:pPr>
        <w:numPr>
          <w:ilvl w:val="2"/>
          <w:numId w:val="22"/>
        </w:numPr>
      </w:pPr>
      <w:r>
        <w:rPr>
          <w:b/>
        </w:rPr>
        <w:t>Signes abdominaux :</w:t>
      </w:r>
    </w:p>
    <w:p>
      <w:pPr>
        <w:numPr>
          <w:ilvl w:val="3"/>
          <w:numId w:val="22"/>
        </w:numPr>
      </w:pPr>
      <w:r>
        <w:rPr/>
        <w:t>Météorisme (</w:t>
      </w:r>
      <w:r>
        <w:rPr>
          <w:i/>
        </w:rPr>
        <w:t>ballonnement),</w:t>
      </w:r>
      <w:r>
        <w:rPr/>
        <w:t xml:space="preserve"> cicatrice abdominale, ondes péristaltiques, hernie étranglée</w:t>
      </w:r>
    </w:p>
    <w:p>
      <w:pPr>
        <w:numPr>
          <w:ilvl w:val="3"/>
          <w:numId w:val="22"/>
        </w:numPr>
      </w:pPr>
      <w:r>
        <w:rPr/>
        <w:t>Défense abdominale, boudin d'invagination, hépatomégalie</w:t>
      </w:r>
    </w:p>
    <w:p>
      <w:pPr>
        <w:numPr>
          <w:ilvl w:val="2"/>
          <w:numId w:val="22"/>
        </w:numPr>
      </w:pPr>
      <w:r>
        <w:rPr>
          <w:b/>
        </w:rPr>
        <w:t>Signes neurologiques</w:t>
      </w:r>
    </w:p>
    <w:p>
      <w:pPr>
        <w:numPr>
          <w:ilvl w:val="3"/>
          <w:numId w:val="22"/>
        </w:numPr>
      </w:pPr>
      <w:r>
        <w:rPr/>
        <w:t>HTIC : fontanelle bombée</w:t>
      </w:r>
      <w:r>
        <w:rPr/>
        <w:t xml:space="preserve"> </w:t>
      </w:r>
      <w:r>
        <w:rPr/>
        <w:t>(</w:t>
      </w:r>
      <w:r>
        <w:rPr>
          <w:i/>
        </w:rPr>
        <w:t>moins de 19 mois</w:t>
      </w:r>
      <w:r>
        <w:rPr>
          <w:i/>
        </w:rPr>
        <w:t>),</w:t>
      </w:r>
      <w:r>
        <w:rPr/>
        <w:t xml:space="preserve"> regard en coucher de soleil (</w:t>
      </w:r>
      <w:r>
        <w:rPr>
          <w:i/>
        </w:rPr>
        <w:t xml:space="preserve">paralysie des paires crâniennes, des muscles oculomoteurs par compression des nerfs and TC par hyperpression au niveau du cerveau) </w:t>
      </w:r>
    </w:p>
    <w:p>
      <w:pPr>
        <w:numPr>
          <w:ilvl w:val="2"/>
          <w:numId w:val="22"/>
        </w:numPr>
      </w:pPr>
      <w:r>
        <w:rPr>
          <w:b/>
        </w:rPr>
        <w:t>Signes d'urgence métabolique</w:t>
      </w:r>
    </w:p>
    <w:p>
      <w:pPr>
        <w:numPr>
          <w:ilvl w:val="3"/>
          <w:numId w:val="22"/>
        </w:numPr>
      </w:pPr>
      <w:r>
        <w:rPr/>
        <w:t xml:space="preserve">Hypoglycémie, insuffisance surrénalienne, </w:t>
      </w:r>
      <w:r>
        <w:rPr/>
        <w:t>toxisyndrome</w:t>
      </w:r>
      <w:r>
        <w:rPr/>
        <w:t xml:space="preserve"> (</w:t>
      </w:r>
      <w:r>
        <w:rPr>
          <w:i/>
        </w:rPr>
        <w:t xml:space="preserve">souvent toxines bactériennes ou toxiques, ex : toxine </w:t>
      </w:r>
      <w:r>
        <w:rPr>
          <w:i/>
        </w:rPr>
        <w:t>staphylococcique :</w:t>
      </w:r>
      <w:r>
        <w:rPr>
          <w:i/>
        </w:rPr>
        <w:t xml:space="preserve"> état de choc par toxine vasoplégique toxique) </w:t>
      </w:r>
      <w:r>
        <w:rPr>
          <w:i/>
        </w:rPr>
        <w:br/>
      </w:r>
    </w:p>
    <w:p>
      <w:pPr>
        <w:pStyle w:val="Heading3"/>
        <w:numPr>
          <w:ilvl w:val="0"/>
          <w:numId w:val="69"/>
        </w:numPr>
      </w:pPr>
      <w:r>
        <w:rPr/>
        <w:t>Gestes d'urgence</w:t>
      </w:r>
    </w:p>
    <w:p>
      <w:pPr>
        <w:numPr>
          <w:ilvl w:val="1"/>
          <w:numId w:val="22"/>
        </w:numPr>
      </w:pPr>
      <w:r>
        <w:rPr/>
        <w:t>Hospitaliser</w:t>
      </w:r>
    </w:p>
    <w:p>
      <w:pPr>
        <w:numPr>
          <w:ilvl w:val="1"/>
          <w:numId w:val="22"/>
        </w:numPr>
      </w:pPr>
      <w:r>
        <w:rPr/>
        <w:t>Correction d'une hypovolémie</w:t>
      </w:r>
    </w:p>
    <w:p>
      <w:pPr>
        <w:numPr>
          <w:ilvl w:val="2"/>
          <w:numId w:val="22"/>
        </w:numPr>
      </w:pPr>
      <w:r>
        <w:rPr/>
        <w:t>Voie veineuse périphérique</w:t>
      </w:r>
    </w:p>
    <w:p>
      <w:pPr>
        <w:numPr>
          <w:ilvl w:val="2"/>
          <w:numId w:val="22"/>
        </w:numPr>
      </w:pPr>
      <w:r>
        <w:rPr/>
        <w:t>Remplissage vasculaire si déshydratation sévère</w:t>
      </w:r>
    </w:p>
    <w:p>
      <w:pPr>
        <w:numPr>
          <w:ilvl w:val="3"/>
          <w:numId w:val="22"/>
        </w:numPr>
      </w:pPr>
      <w:r>
        <w:rPr/>
        <w:t>NaCl</w:t>
      </w:r>
      <w:r>
        <w:rPr/>
        <w:t xml:space="preserve"> 0,9% 20ml/kg (max : 500ml) sur 20 minutes, 2 ou 3 fois</w:t>
      </w:r>
    </w:p>
    <w:p>
      <w:pPr>
        <w:numPr>
          <w:ilvl w:val="1"/>
          <w:numId w:val="22"/>
        </w:numPr>
      </w:pPr>
      <w:r>
        <w:rPr/>
        <w:t>Préparation à une intervention chirurgicale</w:t>
      </w:r>
    </w:p>
    <w:p>
      <w:pPr>
        <w:numPr>
          <w:ilvl w:val="2"/>
          <w:numId w:val="22"/>
        </w:numPr>
      </w:pPr>
      <w:r>
        <w:rPr/>
        <w:t xml:space="preserve">À </w:t>
      </w:r>
      <w:r>
        <w:rPr/>
        <w:t>jeun</w:t>
      </w:r>
    </w:p>
    <w:p>
      <w:pPr>
        <w:numPr>
          <w:ilvl w:val="2"/>
          <w:numId w:val="22"/>
        </w:numPr>
      </w:pPr>
      <w:r>
        <w:rPr/>
        <w:t xml:space="preserve">Bilan </w:t>
      </w:r>
      <w:r>
        <w:rPr/>
        <w:t>pré-opératoire</w:t>
      </w:r>
      <w:r>
        <w:rPr/>
        <w:t xml:space="preserve"> (groupage sanguin et bilan d'hémostase) </w:t>
      </w:r>
    </w:p>
    <w:p>
      <w:pPr>
        <w:numPr>
          <w:ilvl w:val="1"/>
          <w:numId w:val="22"/>
        </w:numPr>
      </w:pPr>
      <w:r>
        <w:rPr/>
        <w:t>Antiémétique en IV, pose de sonde naso-</w:t>
      </w:r>
      <w:r>
        <w:rPr/>
        <w:t>gastrique (</w:t>
      </w:r>
      <w:r>
        <w:rPr/>
        <w:t xml:space="preserve">SNG) </w:t>
      </w:r>
    </w:p>
    <w:p>
      <w:pPr/>
    </w:p>
    <w:p>
      <w:pPr>
        <w:pStyle w:val="Heading2"/>
        <w:numPr>
          <w:ilvl w:val="0"/>
          <w:numId w:val="68"/>
        </w:numPr>
      </w:pPr>
      <w:r>
        <w:rPr/>
        <w:t>Enquête étiologique</w:t>
      </w:r>
    </w:p>
    <w:p>
      <w:pPr>
        <w:pStyle w:val="Heading3"/>
        <w:numPr>
          <w:ilvl w:val="0"/>
          <w:numId w:val="70"/>
        </w:numPr>
      </w:pPr>
      <w:r>
        <w:rPr/>
        <w:t>Examen clinique</w:t>
      </w:r>
    </w:p>
    <w:p>
      <w:pPr>
        <w:pStyle w:val="Heading4"/>
        <w:numPr>
          <w:ilvl w:val="0"/>
          <w:numId w:val="71"/>
        </w:numPr>
      </w:pPr>
      <w:r>
        <w:rPr/>
        <w:t>Anamnèse</w:t>
      </w:r>
    </w:p>
    <w:p>
      <w:pPr>
        <w:numPr>
          <w:ilvl w:val="2"/>
          <w:numId w:val="23"/>
        </w:numPr>
      </w:pPr>
      <w:r>
        <w:rPr>
          <w:b/>
        </w:rPr>
        <w:t>Caractériser les vomissements</w:t>
      </w:r>
    </w:p>
    <w:p>
      <w:pPr>
        <w:numPr>
          <w:ilvl w:val="3"/>
          <w:numId w:val="23"/>
        </w:numPr>
      </w:pPr>
      <w:r>
        <w:rPr/>
        <w:t>Date de début, évolution, fréquence, rythme par rapport au repas, aspect</w:t>
      </w:r>
    </w:p>
    <w:p>
      <w:pPr>
        <w:numPr>
          <w:ilvl w:val="3"/>
          <w:numId w:val="23"/>
        </w:numPr>
      </w:pPr>
      <w:r>
        <w:rPr/>
        <w:t>Contexte de survenu : âge, antécédent chirurgical, régime alimentaire</w:t>
      </w:r>
    </w:p>
    <w:p>
      <w:pPr>
        <w:numPr>
          <w:ilvl w:val="3"/>
          <w:numId w:val="23"/>
        </w:numPr>
      </w:pPr>
      <w:r>
        <w:rPr/>
        <w:t>Grossesse chez une adolescente, menstruation</w:t>
      </w:r>
      <w:r>
        <w:rPr/>
        <w:br/>
      </w:r>
    </w:p>
    <w:p>
      <w:pPr>
        <w:numPr>
          <w:ilvl w:val="2"/>
          <w:numId w:val="23"/>
        </w:numPr>
      </w:pPr>
      <w:r>
        <w:rPr>
          <w:b/>
        </w:rPr>
        <w:t>Signes associés</w:t>
      </w:r>
    </w:p>
    <w:p>
      <w:pPr>
        <w:numPr>
          <w:ilvl w:val="3"/>
          <w:numId w:val="23"/>
        </w:numPr>
      </w:pPr>
      <w:r>
        <w:rPr/>
        <w:t xml:space="preserve">Digestifs : soir, anorexie, douleur abdominal, </w:t>
      </w:r>
      <w:r>
        <w:rPr/>
        <w:t>diarrhée, ...</w:t>
      </w:r>
      <w:r>
        <w:rPr/>
        <w:t xml:space="preserve"> </w:t>
      </w:r>
    </w:p>
    <w:p>
      <w:pPr>
        <w:numPr>
          <w:ilvl w:val="3"/>
          <w:numId w:val="23"/>
        </w:numPr>
      </w:pPr>
      <w:r>
        <w:rPr/>
        <w:t xml:space="preserve">Extradigestifs : céphalée, fièvre, </w:t>
      </w:r>
      <w:r>
        <w:rPr/>
        <w:t>polyuro</w:t>
      </w:r>
      <w:r>
        <w:rPr/>
        <w:t>-</w:t>
      </w:r>
      <w:r>
        <w:rPr/>
        <w:t>polydipsie (</w:t>
      </w:r>
      <w:r>
        <w:rPr>
          <w:i/>
        </w:rPr>
        <w:t xml:space="preserve">diabète par absence de travail du pancréas ou absence de pancréas) </w:t>
      </w:r>
      <w:r>
        <w:rPr>
          <w:i/>
        </w:rPr>
        <w:br/>
      </w:r>
    </w:p>
    <w:p>
      <w:pPr>
        <w:pStyle w:val="Heading4"/>
        <w:numPr>
          <w:ilvl w:val="0"/>
          <w:numId w:val="71"/>
        </w:numPr>
      </w:pPr>
      <w:r>
        <w:rPr/>
        <w:t>Examen physique, enfant toujours nu</w:t>
      </w:r>
    </w:p>
    <w:p>
      <w:pPr>
        <w:numPr>
          <w:ilvl w:val="1"/>
          <w:numId w:val="23"/>
        </w:numPr>
      </w:pPr>
      <w:r>
        <w:rPr/>
        <w:t>Constante : FC, FR, T°, SaO</w:t>
      </w:r>
      <w:r>
        <w:rPr/>
        <w:t xml:space="preserve">2, </w:t>
      </w:r>
      <w:r>
        <w:rPr/>
        <w:t>score de la douleur</w:t>
      </w:r>
    </w:p>
    <w:p>
      <w:pPr>
        <w:numPr>
          <w:ilvl w:val="1"/>
          <w:numId w:val="23"/>
        </w:numPr>
      </w:pPr>
      <w:r>
        <w:rPr/>
        <w:t xml:space="preserve">Examen abdominal, neurologique, ORL, cutané </w:t>
      </w:r>
    </w:p>
    <w:p>
      <w:pPr>
        <w:numPr>
          <w:ilvl w:val="1"/>
          <w:numId w:val="23"/>
        </w:numPr>
      </w:pPr>
      <w:r>
        <w:rPr/>
        <w:t>Examen complet appareil par appareil</w:t>
      </w:r>
      <w:r>
        <w:rPr/>
        <w:br/>
      </w:r>
    </w:p>
    <w:p>
      <w:pPr>
        <w:pStyle w:val="Heading3"/>
        <w:numPr>
          <w:ilvl w:val="0"/>
          <w:numId w:val="70"/>
        </w:numPr>
      </w:pPr>
      <w:r>
        <w:rPr/>
        <w:t>Examen paraclinique</w:t>
      </w:r>
    </w:p>
    <w:p>
      <w:pPr>
        <w:numPr>
          <w:ilvl w:val="1"/>
          <w:numId w:val="23"/>
        </w:numPr>
      </w:pPr>
      <w:r>
        <w:rPr/>
        <w:t>Orienté par le contexte clinique</w:t>
      </w:r>
    </w:p>
    <w:p>
      <w:pPr>
        <w:numPr>
          <w:ilvl w:val="1"/>
          <w:numId w:val="23"/>
        </w:numPr>
      </w:pPr>
      <w:r>
        <w:rPr/>
        <w:t xml:space="preserve">Si Syndrome occlusif ou vomissement BILIEUX </w:t>
      </w:r>
    </w:p>
    <w:p>
      <w:pPr>
        <w:numPr>
          <w:ilvl w:val="2"/>
          <w:numId w:val="23"/>
        </w:numPr>
      </w:pPr>
      <w:r>
        <w:rPr/>
        <w:t>Rx</w:t>
      </w:r>
      <w:r>
        <w:rPr/>
        <w:t xml:space="preserve"> ASP, Échographie abdominale</w:t>
      </w:r>
      <w:r>
        <w:rPr/>
        <w:br/>
      </w:r>
    </w:p>
    <w:p>
      <w:pPr>
        <w:numPr>
          <w:ilvl w:val="1"/>
          <w:numId w:val="23"/>
        </w:numPr>
      </w:pPr>
      <w:r>
        <w:rPr/>
        <w:t>Si vomissement sanglant ou signes d'</w:t>
      </w:r>
      <w:r>
        <w:rPr/>
        <w:t>œsophagites</w:t>
      </w:r>
      <w:r>
        <w:rPr/>
        <w:t xml:space="preserve"> (</w:t>
      </w:r>
      <w:r>
        <w:rPr>
          <w:i/>
        </w:rPr>
        <w:t xml:space="preserve">vomissement rosée + refus alimentaires + </w:t>
      </w:r>
      <w:r>
        <w:rPr>
          <w:i/>
        </w:rPr>
        <w:t>œsophage</w:t>
      </w:r>
      <w:r>
        <w:rPr>
          <w:i/>
        </w:rPr>
        <w:t xml:space="preserve"> hyper-acide) </w:t>
      </w:r>
    </w:p>
    <w:p>
      <w:pPr>
        <w:numPr>
          <w:ilvl w:val="2"/>
          <w:numId w:val="23"/>
        </w:numPr>
      </w:pPr>
      <w:r>
        <w:rPr/>
        <w:t xml:space="preserve">Fibroscopie </w:t>
      </w:r>
      <w:r>
        <w:rPr/>
        <w:t>œsogastrique</w:t>
      </w:r>
      <w:r>
        <w:rPr/>
        <w:br/>
      </w:r>
    </w:p>
    <w:p>
      <w:pPr>
        <w:numPr>
          <w:ilvl w:val="1"/>
          <w:numId w:val="23"/>
        </w:numPr>
      </w:pPr>
      <w:r>
        <w:rPr/>
        <w:t>Bilan biologique</w:t>
      </w:r>
    </w:p>
    <w:p>
      <w:pPr>
        <w:numPr>
          <w:ilvl w:val="2"/>
          <w:numId w:val="23"/>
        </w:numPr>
      </w:pPr>
      <w:r>
        <w:rPr/>
        <w:t>NFS, CRP : confirme un tableau infectieux</w:t>
      </w:r>
    </w:p>
    <w:p>
      <w:pPr>
        <w:numPr>
          <w:ilvl w:val="2"/>
          <w:numId w:val="23"/>
        </w:numPr>
      </w:pPr>
      <w:r>
        <w:rPr/>
        <w:t>Ionogramme sanguin</w:t>
      </w:r>
    </w:p>
    <w:p>
      <w:pPr>
        <w:numPr>
          <w:ilvl w:val="3"/>
          <w:numId w:val="23"/>
        </w:numPr>
      </w:pPr>
      <w:r>
        <w:rPr/>
        <w:t xml:space="preserve">Évalue la gravité </w:t>
      </w:r>
      <w:r>
        <w:rPr/>
        <w:t>de la déshydratation</w:t>
      </w:r>
    </w:p>
    <w:p>
      <w:pPr>
        <w:numPr>
          <w:ilvl w:val="2"/>
          <w:numId w:val="23"/>
        </w:numPr>
      </w:pPr>
      <w:r>
        <w:rPr/>
        <w:t>Gaz du sang</w:t>
      </w:r>
    </w:p>
    <w:p>
      <w:pPr>
        <w:numPr>
          <w:ilvl w:val="3"/>
          <w:numId w:val="23"/>
        </w:numPr>
      </w:pPr>
      <w:r>
        <w:rPr/>
        <w:t xml:space="preserve">Alcalose </w:t>
      </w:r>
      <w:r>
        <w:rPr/>
        <w:t>hypochlorémique</w:t>
      </w:r>
      <w:r>
        <w:rPr/>
        <w:t xml:space="preserve"> d'une sténose du pylore</w:t>
      </w:r>
    </w:p>
    <w:p>
      <w:pPr>
        <w:numPr>
          <w:ilvl w:val="3"/>
          <w:numId w:val="23"/>
        </w:numPr>
      </w:pPr>
      <w:r>
        <w:rPr/>
        <w:t>Acidocétose diabétique</w:t>
      </w:r>
    </w:p>
    <w:p>
      <w:pPr>
        <w:numPr>
          <w:ilvl w:val="2"/>
          <w:numId w:val="23"/>
        </w:numPr>
      </w:pPr>
      <w:r>
        <w:rPr/>
        <w:t xml:space="preserve">Groupage et hémostase (bilan préopératoire) </w:t>
      </w:r>
    </w:p>
    <w:p>
      <w:pPr>
        <w:numPr>
          <w:ilvl w:val="2"/>
          <w:numId w:val="23"/>
        </w:numPr>
      </w:pPr>
      <w:r>
        <w:rPr/>
        <w:t>Dosage de toxique dans le sang (</w:t>
      </w:r>
      <w:r>
        <w:rPr>
          <w:i/>
        </w:rPr>
        <w:t xml:space="preserve">notion d'intoxication) </w:t>
      </w:r>
      <w:r>
        <w:rPr>
          <w:i/>
        </w:rPr>
        <w:br/>
      </w:r>
    </w:p>
    <w:p>
      <w:pPr>
        <w:numPr>
          <w:ilvl w:val="1"/>
          <w:numId w:val="23"/>
        </w:numPr>
      </w:pPr>
      <w:r>
        <w:rPr/>
        <w:t>Examen bactériologique si syndrome infectieux</w:t>
      </w:r>
    </w:p>
    <w:p>
      <w:pPr>
        <w:numPr>
          <w:ilvl w:val="2"/>
          <w:numId w:val="23"/>
        </w:numPr>
      </w:pPr>
      <w:r>
        <w:rPr/>
        <w:t>Hémoculture, ECBC LCS, ECBU, coproculture</w:t>
      </w:r>
      <w:r>
        <w:rPr/>
        <w:br/>
      </w:r>
    </w:p>
    <w:p>
      <w:pPr>
        <w:numPr>
          <w:ilvl w:val="1"/>
          <w:numId w:val="23"/>
        </w:numPr>
      </w:pPr>
      <w:r>
        <w:rPr>
          <w:rFonts w:ascii="Symbol" w:hAnsi="Symbol"/>
        </w:rPr>
      </w:r>
      <w:r>
        <w:rPr/>
        <w:t>-HCG chez une adolescente</w:t>
      </w:r>
    </w:p>
    <w:p>
      <w:pPr>
        <w:numPr>
          <w:ilvl w:val="1"/>
          <w:numId w:val="23"/>
        </w:numPr>
      </w:pPr>
      <w:r>
        <w:rPr/>
        <w:t xml:space="preserve">Imagerie neurologique (Scanner cérébral, IRM) </w:t>
      </w:r>
    </w:p>
    <w:p>
      <w:pPr>
        <w:numPr>
          <w:ilvl w:val="2"/>
          <w:numId w:val="23"/>
        </w:numPr>
      </w:pPr>
      <w:r>
        <w:rPr/>
        <w:t>Sd d'HTIC, trouble de la conscience, traumatisme crânien</w:t>
      </w:r>
    </w:p>
    <w:p>
      <w:pPr>
        <w:ind w:left="360"/>
      </w:pPr>
    </w:p>
    <w:p>
      <w:pPr>
        <w:pStyle w:val="Heading2"/>
        <w:numPr>
          <w:ilvl w:val="0"/>
          <w:numId w:val="68"/>
        </w:numPr>
      </w:pPr>
      <w:r>
        <w:rPr/>
        <w:t>Etiologies</w:t>
      </w:r>
    </w:p>
    <w:p>
      <w:pPr>
        <w:pStyle w:val="Heading3"/>
        <w:numPr>
          <w:ilvl w:val="0"/>
          <w:numId w:val="72"/>
        </w:numPr>
      </w:pPr>
      <w:r>
        <w:rPr/>
        <w:t>Vomissements aigus occasionnels</w:t>
      </w:r>
    </w:p>
    <w:p>
      <w:pPr>
        <w:pStyle w:val="Heading4"/>
        <w:numPr>
          <w:ilvl w:val="0"/>
          <w:numId w:val="73"/>
        </w:numPr>
      </w:pPr>
      <w:r>
        <w:rPr/>
        <w:t>Vomissements + syndrome infectieux</w:t>
      </w:r>
    </w:p>
    <w:p>
      <w:pPr>
        <w:numPr>
          <w:ilvl w:val="2"/>
          <w:numId w:val="24"/>
        </w:numPr>
      </w:pPr>
      <w:r>
        <w:rPr>
          <w:b/>
        </w:rPr>
        <w:t>Gastroentérite virale ou bactérienne</w:t>
      </w:r>
      <w:r>
        <w:rPr/>
        <w:t xml:space="preserve"> (</w:t>
      </w:r>
      <w:r>
        <w:rPr>
          <w:i/>
        </w:rPr>
        <w:t xml:space="preserve">infection de l'estomac et de l'intestin) </w:t>
      </w:r>
    </w:p>
    <w:p>
      <w:pPr>
        <w:numPr>
          <w:ilvl w:val="3"/>
          <w:numId w:val="24"/>
        </w:numPr>
      </w:pPr>
      <w:r>
        <w:rPr/>
        <w:t>Vomissements avec diarrhée</w:t>
      </w:r>
      <w:r>
        <w:rPr/>
        <w:br/>
      </w:r>
    </w:p>
    <w:p>
      <w:pPr>
        <w:numPr>
          <w:ilvl w:val="2"/>
          <w:numId w:val="24"/>
        </w:numPr>
      </w:pPr>
      <w:r>
        <w:rPr>
          <w:b/>
        </w:rPr>
        <w:t>Infections ORL</w:t>
      </w:r>
    </w:p>
    <w:p>
      <w:pPr>
        <w:numPr>
          <w:ilvl w:val="3"/>
          <w:numId w:val="24"/>
        </w:numPr>
      </w:pPr>
      <w:r>
        <w:rPr/>
        <w:t>Otite, rhinopharyngite, angine, stomatite</w:t>
      </w:r>
      <w:r>
        <w:rPr/>
        <w:br/>
      </w:r>
    </w:p>
    <w:p>
      <w:pPr>
        <w:numPr>
          <w:ilvl w:val="2"/>
          <w:numId w:val="24"/>
        </w:numPr>
      </w:pPr>
      <w:r>
        <w:rPr>
          <w:b/>
        </w:rPr>
        <w:t xml:space="preserve">Autres causes infectieuses </w:t>
      </w:r>
    </w:p>
    <w:p>
      <w:pPr>
        <w:numPr>
          <w:ilvl w:val="3"/>
          <w:numId w:val="24"/>
        </w:numPr>
      </w:pPr>
      <w:r>
        <w:rPr/>
        <w:t>Infection urinaire</w:t>
      </w:r>
    </w:p>
    <w:p>
      <w:pPr>
        <w:numPr>
          <w:ilvl w:val="3"/>
          <w:numId w:val="24"/>
        </w:numPr>
      </w:pPr>
      <w:r>
        <w:rPr/>
        <w:t>Méningite (</w:t>
      </w:r>
      <w:r>
        <w:rPr>
          <w:i/>
        </w:rPr>
        <w:t xml:space="preserve">syndrome méningé) </w:t>
      </w:r>
    </w:p>
    <w:p>
      <w:pPr>
        <w:numPr>
          <w:ilvl w:val="3"/>
          <w:numId w:val="24"/>
        </w:numPr>
      </w:pPr>
      <w:r>
        <w:rPr/>
        <w:t>Infections respiratoires (</w:t>
      </w:r>
      <w:r>
        <w:rPr>
          <w:i/>
        </w:rPr>
        <w:t xml:space="preserve">possible au cours de la pneumonie) </w:t>
      </w:r>
    </w:p>
    <w:p>
      <w:pPr>
        <w:numPr>
          <w:ilvl w:val="3"/>
          <w:numId w:val="24"/>
        </w:numPr>
      </w:pPr>
      <w:r>
        <w:rPr/>
        <w:t>Hépatite (</w:t>
      </w:r>
      <w:r>
        <w:rPr>
          <w:i/>
        </w:rPr>
        <w:t xml:space="preserve">virale, toxique, etc.) </w:t>
      </w:r>
      <w:r>
        <w:rPr>
          <w:i/>
        </w:rPr>
        <w:br/>
      </w:r>
    </w:p>
    <w:p>
      <w:pPr>
        <w:pStyle w:val="Heading4"/>
        <w:numPr>
          <w:ilvl w:val="0"/>
          <w:numId w:val="73"/>
        </w:numPr>
      </w:pPr>
      <w:r>
        <w:rPr/>
        <w:t>Vomissements SANS syndrome infectieux</w:t>
      </w:r>
    </w:p>
    <w:p>
      <w:pPr>
        <w:pStyle w:val="Heading5"/>
        <w:numPr>
          <w:ilvl w:val="0"/>
          <w:numId w:val="74"/>
        </w:numPr>
      </w:pPr>
      <w:r>
        <w:rPr/>
        <w:t>Chez le nouveau-né</w:t>
      </w:r>
    </w:p>
    <w:p>
      <w:pPr>
        <w:numPr>
          <w:ilvl w:val="3"/>
          <w:numId w:val="24"/>
        </w:numPr>
      </w:pPr>
      <w:r>
        <w:rPr>
          <w:b/>
        </w:rPr>
        <w:t xml:space="preserve">Causes mécaniques malformatives </w:t>
      </w:r>
    </w:p>
    <w:p>
      <w:pPr>
        <w:numPr>
          <w:ilvl w:val="4"/>
          <w:numId w:val="24"/>
        </w:numPr>
      </w:pPr>
      <w:r>
        <w:rPr/>
        <w:t xml:space="preserve">Atrésie / sténose duodénale, </w:t>
      </w:r>
      <w:r>
        <w:rPr/>
        <w:t>ileus</w:t>
      </w:r>
      <w:r>
        <w:rPr/>
        <w:t xml:space="preserve"> méconial (</w:t>
      </w:r>
      <w:r>
        <w:rPr>
          <w:i/>
        </w:rPr>
        <w:t xml:space="preserve">méconium très épais et collant, obstruant l'intestin, évacué par lavement) </w:t>
      </w:r>
    </w:p>
    <w:p>
      <w:pPr>
        <w:numPr>
          <w:ilvl w:val="4"/>
          <w:numId w:val="24"/>
        </w:numPr>
      </w:pPr>
      <w:r>
        <w:rPr/>
        <w:t>Maladie de Hirschsprung</w:t>
      </w:r>
      <w:r>
        <w:rPr/>
        <w:br/>
      </w:r>
    </w:p>
    <w:p>
      <w:pPr>
        <w:pStyle w:val="Heading5"/>
        <w:numPr>
          <w:ilvl w:val="0"/>
          <w:numId w:val="74"/>
        </w:numPr>
      </w:pPr>
      <w:r>
        <w:rPr/>
        <w:t xml:space="preserve">Chez le prématuré : </w:t>
      </w:r>
    </w:p>
    <w:p>
      <w:pPr>
        <w:numPr>
          <w:ilvl w:val="3"/>
          <w:numId w:val="24"/>
        </w:numPr>
      </w:pPr>
      <w:r>
        <w:rPr/>
        <w:t xml:space="preserve">Entérocolite </w:t>
      </w:r>
      <w:r>
        <w:rPr/>
        <w:t>ulcéronécrosante</w:t>
      </w:r>
      <w:r>
        <w:rPr/>
        <w:t xml:space="preserve"> (</w:t>
      </w:r>
      <w:r>
        <w:rPr>
          <w:i/>
        </w:rPr>
        <w:t xml:space="preserve">non prêt à digérer du lait, alimentation parentérale par sa mère. N'arrivent pas à digérer le lait : intestin troué) </w:t>
      </w:r>
      <w:r>
        <w:rPr>
          <w:i/>
        </w:rPr>
        <w:br/>
      </w:r>
    </w:p>
    <w:p>
      <w:pPr>
        <w:pStyle w:val="Heading5"/>
        <w:numPr>
          <w:ilvl w:val="0"/>
          <w:numId w:val="74"/>
        </w:numPr>
      </w:pPr>
      <w:r>
        <w:rPr/>
        <w:t>Chez le nourrisson et enfant</w:t>
      </w:r>
    </w:p>
    <w:p>
      <w:pPr>
        <w:pStyle w:val="Heading6"/>
        <w:ind w:firstLine="650"/>
      </w:pPr>
      <w:r>
        <w:rPr/>
        <w:t>Causes chirurgicales</w:t>
      </w:r>
    </w:p>
    <w:p>
      <w:pPr>
        <w:numPr>
          <w:ilvl w:val="5"/>
          <w:numId w:val="24"/>
        </w:numPr>
      </w:pPr>
      <w:r>
        <w:rPr/>
        <w:t>Hernie étranglée, volvulus</w:t>
      </w:r>
    </w:p>
    <w:p>
      <w:pPr>
        <w:numPr>
          <w:ilvl w:val="5"/>
          <w:numId w:val="24"/>
        </w:numPr>
      </w:pPr>
      <w:r>
        <w:rPr/>
        <w:t xml:space="preserve">IIA, appendicite, torsion </w:t>
      </w:r>
      <w:r>
        <w:rPr/>
        <w:t>d’annexe (</w:t>
      </w:r>
      <w:r>
        <w:rPr/>
        <w:t xml:space="preserve">testicule ou ovaire) </w:t>
      </w:r>
      <w:r>
        <w:rPr/>
        <w:br/>
      </w:r>
    </w:p>
    <w:p>
      <w:pPr>
        <w:pStyle w:val="Heading6"/>
        <w:ind w:firstLine="650"/>
      </w:pPr>
      <w:r>
        <w:rPr/>
        <w:t xml:space="preserve">Causes neurologiques (HTIC) </w:t>
      </w:r>
    </w:p>
    <w:p>
      <w:pPr>
        <w:numPr>
          <w:ilvl w:val="5"/>
          <w:numId w:val="24"/>
        </w:numPr>
      </w:pPr>
      <w:r>
        <w:rPr/>
        <w:t>Traumatisme crânien, hématome sous/extradural</w:t>
      </w:r>
    </w:p>
    <w:p>
      <w:pPr>
        <w:numPr>
          <w:ilvl w:val="5"/>
          <w:numId w:val="24"/>
        </w:numPr>
      </w:pPr>
      <w:r>
        <w:rPr/>
        <w:t>Tumeur cérébrale</w:t>
      </w:r>
      <w:r>
        <w:rPr/>
        <w:br/>
      </w:r>
    </w:p>
    <w:p>
      <w:pPr>
        <w:pStyle w:val="Heading6"/>
        <w:ind w:firstLine="650"/>
      </w:pPr>
      <w:r>
        <w:rPr/>
        <w:t xml:space="preserve">Autres : </w:t>
      </w:r>
    </w:p>
    <w:p>
      <w:pPr>
        <w:numPr>
          <w:ilvl w:val="4"/>
          <w:numId w:val="24"/>
        </w:numPr>
      </w:pPr>
      <w:r>
        <w:rPr/>
        <w:t>Allergie</w:t>
      </w:r>
      <w:r>
        <w:rPr/>
        <w:t xml:space="preserve"> alimentaire, toxique, hypoglycémie</w:t>
      </w:r>
      <w:r>
        <w:rPr/>
        <w:br/>
      </w:r>
    </w:p>
    <w:p>
      <w:pPr>
        <w:pStyle w:val="Heading3"/>
        <w:numPr>
          <w:ilvl w:val="0"/>
          <w:numId w:val="72"/>
        </w:numPr>
      </w:pPr>
      <w:r>
        <w:rPr/>
        <w:t>Vomissements chroniques ou récurrents</w:t>
      </w:r>
    </w:p>
    <w:p>
      <w:pPr>
        <w:pStyle w:val="Heading4"/>
        <w:numPr>
          <w:ilvl w:val="0"/>
          <w:numId w:val="75"/>
        </w:numPr>
      </w:pPr>
      <w:r>
        <w:rPr/>
        <w:t xml:space="preserve">Erreurs diététiques </w:t>
      </w:r>
    </w:p>
    <w:p>
      <w:pPr>
        <w:numPr>
          <w:ilvl w:val="2"/>
          <w:numId w:val="24"/>
        </w:numPr>
      </w:pPr>
      <w:r>
        <w:rPr/>
        <w:t>À éliminer en 1</w:t>
      </w:r>
      <w:r>
        <w:rPr/>
        <w:t xml:space="preserve">er </w:t>
      </w:r>
      <w:r>
        <w:rPr/>
        <w:t>à l'interrogatoire</w:t>
      </w:r>
    </w:p>
    <w:p>
      <w:pPr>
        <w:numPr>
          <w:ilvl w:val="3"/>
          <w:numId w:val="24"/>
        </w:numPr>
      </w:pPr>
      <w:r>
        <w:rPr/>
        <w:t>Régime inadapté</w:t>
      </w:r>
    </w:p>
    <w:p>
      <w:pPr>
        <w:numPr>
          <w:ilvl w:val="3"/>
          <w:numId w:val="24"/>
        </w:numPr>
      </w:pPr>
      <w:r>
        <w:rPr/>
        <w:t>Reconstitution du lait inadéquate</w:t>
      </w:r>
    </w:p>
    <w:p>
      <w:pPr>
        <w:numPr>
          <w:ilvl w:val="3"/>
          <w:numId w:val="24"/>
        </w:numPr>
      </w:pPr>
      <w:r>
        <w:rPr/>
        <w:t>Quantité excessive du biberon / repas</w:t>
      </w:r>
    </w:p>
    <w:p>
      <w:pPr>
        <w:numPr>
          <w:ilvl w:val="3"/>
          <w:numId w:val="24"/>
        </w:numPr>
      </w:pPr>
      <w:r>
        <w:rPr>
          <w:b/>
        </w:rPr>
        <w:t>Forcing</w:t>
      </w:r>
      <w:r>
        <w:rPr/>
        <w:t xml:space="preserve"> alimentaire</w:t>
      </w:r>
      <w:r>
        <w:rPr/>
        <w:br/>
      </w:r>
    </w:p>
    <w:p>
      <w:pPr>
        <w:pStyle w:val="Heading4"/>
        <w:numPr>
          <w:ilvl w:val="0"/>
          <w:numId w:val="75"/>
        </w:numPr>
      </w:pPr>
      <w:r>
        <w:rPr/>
        <w:t>Affections digestives</w:t>
      </w:r>
    </w:p>
    <w:p>
      <w:pPr>
        <w:numPr>
          <w:ilvl w:val="2"/>
          <w:numId w:val="24"/>
        </w:numPr>
      </w:pPr>
      <w:r>
        <w:rPr>
          <w:b/>
        </w:rPr>
        <w:t>RGO</w:t>
      </w:r>
    </w:p>
    <w:p>
      <w:pPr>
        <w:numPr>
          <w:ilvl w:val="3"/>
          <w:numId w:val="24"/>
        </w:numPr>
      </w:pPr>
      <w:r>
        <w:rPr/>
        <w:t>Dès les 1</w:t>
      </w:r>
      <w:r>
        <w:rPr/>
        <w:t xml:space="preserve">ers </w:t>
      </w:r>
      <w:r>
        <w:rPr/>
        <w:t>jours de vie, post-prandiaux</w:t>
      </w:r>
    </w:p>
    <w:p>
      <w:pPr>
        <w:numPr>
          <w:ilvl w:val="3"/>
          <w:numId w:val="24"/>
        </w:numPr>
      </w:pPr>
      <w:r>
        <w:rPr/>
        <w:t>Favorisé par le changement de position</w:t>
      </w:r>
      <w:r>
        <w:rPr/>
        <w:br/>
      </w:r>
    </w:p>
    <w:p>
      <w:pPr>
        <w:numPr>
          <w:ilvl w:val="2"/>
          <w:numId w:val="24"/>
        </w:numPr>
      </w:pPr>
      <w:r>
        <w:rPr>
          <w:b/>
        </w:rPr>
        <w:t>Allergie et intolérances alimentaires</w:t>
      </w:r>
    </w:p>
    <w:p>
      <w:pPr>
        <w:numPr>
          <w:ilvl w:val="3"/>
          <w:numId w:val="24"/>
        </w:numPr>
      </w:pPr>
      <w:r>
        <w:rPr/>
        <w:t xml:space="preserve">Allergie aux protéines du lait de vache (Au moment de sevrage : apparaît lors de la diversification alimentaire) </w:t>
      </w:r>
      <w:r>
        <w:rPr/>
        <w:br/>
      </w:r>
    </w:p>
    <w:p>
      <w:pPr>
        <w:numPr>
          <w:ilvl w:val="2"/>
          <w:numId w:val="24"/>
        </w:numPr>
      </w:pPr>
      <w:r>
        <w:rPr>
          <w:b/>
        </w:rPr>
        <w:t>Sténose du pylore</w:t>
      </w:r>
    </w:p>
    <w:p>
      <w:pPr>
        <w:numPr>
          <w:ilvl w:val="3"/>
          <w:numId w:val="24"/>
        </w:numPr>
      </w:pPr>
      <w:r>
        <w:rPr/>
        <w:t>URGENCE DIAGNOSTIQUE DU NOURRISSON</w:t>
      </w:r>
    </w:p>
    <w:p>
      <w:pPr>
        <w:numPr>
          <w:ilvl w:val="4"/>
          <w:numId w:val="24"/>
        </w:numPr>
      </w:pPr>
      <w:r>
        <w:rPr/>
        <w:t>Hypertrophie des fibres musculaires du muscle pylorique</w:t>
      </w:r>
      <w:r>
        <w:rPr/>
        <w:br/>
      </w:r>
    </w:p>
    <w:p>
      <w:pPr>
        <w:pStyle w:val="Heading4"/>
        <w:numPr>
          <w:ilvl w:val="0"/>
          <w:numId w:val="75"/>
        </w:numPr>
      </w:pPr>
      <w:r>
        <w:rPr/>
        <w:t>Affections extradigestives</w:t>
      </w:r>
    </w:p>
    <w:p>
      <w:pPr>
        <w:numPr>
          <w:ilvl w:val="2"/>
          <w:numId w:val="24"/>
        </w:numPr>
      </w:pPr>
      <w:r>
        <w:rPr>
          <w:b/>
        </w:rPr>
        <w:t>Maladies métaboliques</w:t>
      </w:r>
    </w:p>
    <w:p>
      <w:pPr>
        <w:numPr>
          <w:ilvl w:val="3"/>
          <w:numId w:val="24"/>
        </w:numPr>
      </w:pPr>
      <w:r>
        <w:rPr/>
        <w:t>Acidocétose diabétique</w:t>
      </w:r>
    </w:p>
    <w:p>
      <w:pPr>
        <w:numPr>
          <w:ilvl w:val="3"/>
          <w:numId w:val="24"/>
        </w:numPr>
      </w:pPr>
      <w:r>
        <w:rPr/>
        <w:t>Hyperplasie congénitale des surrénales</w:t>
      </w:r>
      <w:r>
        <w:rPr/>
        <w:br/>
      </w:r>
    </w:p>
    <w:p>
      <w:pPr>
        <w:numPr>
          <w:ilvl w:val="2"/>
          <w:numId w:val="24"/>
        </w:numPr>
      </w:pPr>
      <w:r>
        <w:rPr>
          <w:b/>
        </w:rPr>
        <w:t>Vomissements acétonémiques</w:t>
      </w:r>
      <w:r>
        <w:rPr/>
        <w:t xml:space="preserve"> (</w:t>
      </w:r>
      <w:r>
        <w:rPr>
          <w:i/>
        </w:rPr>
        <w:t xml:space="preserve">par accumulation de corps cétoniques dans le sang) </w:t>
      </w:r>
    </w:p>
    <w:p>
      <w:pPr>
        <w:numPr>
          <w:ilvl w:val="3"/>
          <w:numId w:val="24"/>
        </w:numPr>
      </w:pPr>
      <w:r>
        <w:rPr/>
        <w:t xml:space="preserve">Favorisés par le </w:t>
      </w:r>
      <w:r>
        <w:rPr/>
        <w:t>jeun</w:t>
      </w:r>
      <w:r>
        <w:rPr/>
        <w:t xml:space="preserve"> (grand </w:t>
      </w:r>
      <w:r>
        <w:rPr/>
        <w:t>enfant) :</w:t>
      </w:r>
      <w:r>
        <w:rPr/>
        <w:t xml:space="preserve"> Cétose de </w:t>
      </w:r>
      <w:r>
        <w:rPr/>
        <w:t>jêune</w:t>
      </w:r>
    </w:p>
    <w:p>
      <w:pPr>
        <w:numPr>
          <w:ilvl w:val="3"/>
          <w:numId w:val="24"/>
        </w:numPr>
      </w:pPr>
      <w:r>
        <w:rPr/>
        <w:t>Cessent à la prise de sucre</w:t>
      </w:r>
      <w:r>
        <w:rPr/>
        <w:br/>
      </w:r>
    </w:p>
    <w:p>
      <w:pPr>
        <w:numPr>
          <w:ilvl w:val="2"/>
          <w:numId w:val="24"/>
        </w:numPr>
      </w:pPr>
      <w:r>
        <w:rPr>
          <w:b/>
        </w:rPr>
        <w:t xml:space="preserve">Traumatisme crânien (TC) </w:t>
      </w:r>
    </w:p>
    <w:p>
      <w:pPr>
        <w:numPr>
          <w:ilvl w:val="3"/>
          <w:numId w:val="24"/>
        </w:numPr>
      </w:pPr>
      <w:r>
        <w:rPr/>
        <w:t>Hématome intracrânien, TC léger</w:t>
      </w:r>
    </w:p>
    <w:p>
      <w:pPr/>
    </w:p>
    <w:p>
      <w:pPr>
        <w:pStyle w:val="Heading2"/>
        <w:numPr>
          <w:ilvl w:val="0"/>
          <w:numId w:val="68"/>
        </w:numPr>
      </w:pPr>
      <w:r>
        <w:rPr/>
        <w:t>PRISE EN CHARGE</w:t>
      </w:r>
    </w:p>
    <w:p>
      <w:pPr/>
    </w:p>
    <w:p>
      <w:pPr>
        <w:numPr>
          <w:ilvl w:val="0"/>
          <w:numId w:val="25"/>
        </w:numPr>
      </w:pPr>
      <w:r>
        <w:rPr/>
        <w:t>TRAITEMENT EN FONCTION DE LA CAUSE : traitement étiologique</w:t>
      </w:r>
    </w:p>
    <w:p>
      <w:pPr>
        <w:pStyle w:val="Heading3"/>
      </w:pPr>
      <w:r>
        <w:rPr/>
        <w:t>Traitement symptomatique</w:t>
      </w:r>
    </w:p>
    <w:p>
      <w:pPr>
        <w:numPr>
          <w:ilvl w:val="1"/>
          <w:numId w:val="25"/>
        </w:numPr>
      </w:pPr>
      <w:r>
        <w:rPr/>
        <w:t>En absence d'étiologie spécifi</w:t>
      </w:r>
      <w:r>
        <w:rPr/>
        <w:t xml:space="preserve">que </w:t>
      </w:r>
      <w:r>
        <w:rPr/>
        <w:t>médicale ou chirurgicale</w:t>
      </w:r>
    </w:p>
    <w:p>
      <w:pPr>
        <w:numPr>
          <w:ilvl w:val="2"/>
          <w:numId w:val="25"/>
        </w:numPr>
      </w:pPr>
      <w:r>
        <w:rPr/>
        <w:t>Repos digestif (</w:t>
      </w:r>
      <w:r>
        <w:rPr>
          <w:i/>
        </w:rPr>
        <w:t xml:space="preserve">4h puis moins de 50 ml) </w:t>
      </w:r>
    </w:p>
    <w:p>
      <w:pPr>
        <w:numPr>
          <w:ilvl w:val="2"/>
          <w:numId w:val="25"/>
        </w:numPr>
      </w:pPr>
      <w:r>
        <w:rPr/>
        <w:t>Molécules antiémétiques</w:t>
      </w:r>
    </w:p>
    <w:p>
      <w:pPr>
        <w:numPr>
          <w:ilvl w:val="3"/>
          <w:numId w:val="25"/>
        </w:numPr>
      </w:pPr>
      <w:r>
        <w:rPr/>
        <w:t>Métopimazine</w:t>
      </w:r>
      <w:r>
        <w:rPr/>
        <w:t xml:space="preserve"> (</w:t>
      </w:r>
      <w:r>
        <w:rPr/>
        <w:t>Vogalène</w:t>
      </w:r>
      <w:r>
        <w:rPr/>
        <w:t>*) : 0,33mg/kg x3/j</w:t>
      </w:r>
    </w:p>
    <w:p>
      <w:pPr>
        <w:numPr>
          <w:ilvl w:val="1"/>
          <w:numId w:val="25"/>
        </w:numPr>
      </w:pPr>
      <w:r>
        <w:rPr/>
        <w:t xml:space="preserve"> NB : </w:t>
      </w:r>
      <w:r>
        <w:rPr>
          <w:b/>
        </w:rPr>
        <w:t>le métoclopramide (Primpéran*) est CONTRE-INDIQUÉ</w:t>
      </w:r>
      <w:r>
        <w:rPr/>
        <w:t xml:space="preserve"> (</w:t>
      </w:r>
      <w:r>
        <w:rPr>
          <w:i/>
        </w:rPr>
        <w:t xml:space="preserve">effets secondaires neurologiques !!!!) 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26"/>
        </w:numPr>
      </w:pPr>
      <w:r>
        <w:rPr/>
        <w:t>Vomissement chez l'enfant</w:t>
      </w:r>
    </w:p>
    <w:p>
      <w:pPr>
        <w:numPr>
          <w:ilvl w:val="1"/>
          <w:numId w:val="26"/>
        </w:numPr>
      </w:pPr>
      <w:r>
        <w:rPr/>
        <w:t xml:space="preserve">Évoquer une urgence chirurgicale devant un syndrome occlusif (vomissement bilieux, hernie étranglée, IIAN) </w:t>
      </w:r>
    </w:p>
    <w:p>
      <w:pPr>
        <w:numPr>
          <w:ilvl w:val="1"/>
          <w:numId w:val="26"/>
        </w:numPr>
      </w:pPr>
      <w:r>
        <w:rPr/>
        <w:t xml:space="preserve">Éliminer une urgence médicale </w:t>
      </w:r>
    </w:p>
    <w:p>
      <w:pPr>
        <w:numPr>
          <w:ilvl w:val="2"/>
          <w:numId w:val="26"/>
        </w:numPr>
      </w:pPr>
      <w:r>
        <w:rPr/>
        <w:t xml:space="preserve">Neurologique (méningite), métabolique (hypoglycémie, diabète) </w:t>
      </w:r>
    </w:p>
    <w:p>
      <w:pPr>
        <w:numPr>
          <w:ilvl w:val="1"/>
          <w:numId w:val="26"/>
        </w:numPr>
      </w:pPr>
      <w:r>
        <w:rPr/>
        <w:t>Toujours évaluer le retentissement</w:t>
      </w:r>
    </w:p>
    <w:p>
      <w:pPr>
        <w:numPr>
          <w:ilvl w:val="2"/>
          <w:numId w:val="26"/>
        </w:numPr>
      </w:pPr>
      <w:r>
        <w:rPr/>
        <w:t>Déshydratation</w:t>
      </w:r>
    </w:p>
    <w:p>
      <w:pPr>
        <w:numPr>
          <w:ilvl w:val="1"/>
          <w:numId w:val="26"/>
        </w:numPr>
      </w:pPr>
      <w:r>
        <w:rPr/>
        <w:t>Meneur une enquête étiologique</w:t>
      </w:r>
    </w:p>
    <w:p>
      <w:pPr>
        <w:numPr>
          <w:ilvl w:val="2"/>
          <w:numId w:val="26"/>
        </w:numPr>
      </w:pPr>
      <w:r>
        <w:rPr/>
        <w:t xml:space="preserve">Erreur diététique, </w:t>
      </w:r>
      <w:r>
        <w:rPr/>
        <w:t>diarrhée ?</w:t>
      </w:r>
      <w:r>
        <w:rPr/>
        <w:t xml:space="preserve"> sevrage récent (APLV), RGO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