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POLITIQUE NATIONALE DE SANTE COMMUNAUTAIRE</w:t>
      </w:r>
    </w:p>
    <w:p>
      <w:pPr>
        <w:pStyle w:val="Heading2"/>
      </w:pPr>
      <w:r>
        <w:rPr/>
        <w:t>Objectifs :</w:t>
      </w:r>
    </w:p>
    <w:p>
      <w:pPr>
        <w:numPr>
          <w:ilvl w:val="1"/>
          <w:numId w:val="2"/>
        </w:numPr>
      </w:pPr>
      <w:r>
        <w:rPr/>
        <w:t>Expliquer les valeurs fondamentales et les principes directeurs de la PNSC</w:t>
      </w:r>
    </w:p>
    <w:p>
      <w:pPr>
        <w:numPr>
          <w:ilvl w:val="1"/>
          <w:numId w:val="2"/>
        </w:numPr>
      </w:pPr>
      <w:r>
        <w:rPr/>
        <w:t>Décrire la vision, but et objectifs de la PNSC</w:t>
      </w:r>
    </w:p>
    <w:p>
      <w:pPr>
        <w:numPr>
          <w:ilvl w:val="1"/>
          <w:numId w:val="2"/>
        </w:numPr>
      </w:pPr>
      <w:r>
        <w:rPr/>
        <w:t>Décrire les 7 axes stratégiques de la PNSC</w:t>
      </w:r>
    </w:p>
    <w:p>
      <w:pPr>
        <w:numPr>
          <w:ilvl w:val="0"/>
          <w:numId w:val="0"/>
        </w:numPr>
      </w:pPr>
    </w:p>
    <w:p>
      <w:pPr>
        <w:pStyle w:val="Heading2"/>
      </w:pPr>
      <w:r>
        <w:rPr/>
        <w:t>INTRODUCTION</w:t>
      </w:r>
    </w:p>
    <w:p>
      <w:pPr/>
      <w:r>
        <w:rPr/>
        <w:t>Système de santé de Madagascar :</w:t>
      </w:r>
    </w:p>
    <w:p>
      <w:pPr>
        <w:numPr>
          <w:ilvl w:val="0"/>
          <w:numId w:val="0"/>
        </w:numPr>
      </w:pPr>
      <w:r>
        <w:rPr/>
      </w:r>
      <w:r>
        <w:drawing>
          <wp:inline xmlns:a="http://schemas.openxmlformats.org/drawingml/2006/main" xmlns:pic="http://schemas.openxmlformats.org/drawingml/2006/picture">
            <wp:extent cx="58928000" cy="440944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8928000" cy="44094400"/>
                    </a:xfrm>
                    <a:prstGeom prst="rect"/>
                  </pic:spPr>
                </pic:pic>
              </a:graphicData>
            </a:graphic>
          </wp:inline>
        </w:drawing>
      </w:r>
    </w:p>
    <w:p>
      <w:pPr>
        <w:numPr>
          <w:ilvl w:val="0"/>
          <w:numId w:val="0"/>
        </w:numPr>
      </w:pPr>
    </w:p>
    <w:p>
      <w:pPr/>
      <w:r>
        <w:rPr/>
        <w:t>Intégration des services de santé communautaire</w:t>
      </w:r>
    </w:p>
    <w:p>
      <w:pPr>
        <w:numPr>
          <w:ilvl w:val="0"/>
          <w:numId w:val="0"/>
        </w:numPr>
      </w:pPr>
      <w:r>
        <w:rPr/>
        <w:t>-&gt; Mise en place de la PNSC en 2009</w:t>
      </w:r>
    </w:p>
    <w:p>
      <w:pPr>
        <w:numPr>
          <w:ilvl w:val="0"/>
          <w:numId w:val="0"/>
        </w:numPr>
      </w:pPr>
    </w:p>
    <w:p>
      <w:pPr/>
      <w:r>
        <w:rPr/>
        <w:t>PNSC : traduit la volonté politique de l’Etat d’intégrer le niveau communautaire dans le système de santé</w:t>
      </w:r>
    </w:p>
    <w:p>
      <w:pPr/>
      <w:r>
        <w:rPr/>
        <w:t xml:space="preserve">PNSC : </w:t>
      </w:r>
      <w:r>
        <w:rPr>
          <w:i/>
        </w:rPr>
        <w:t>a permis la</w:t>
      </w:r>
      <w:r>
        <w:rPr/>
        <w:t xml:space="preserve"> définition des orientations et clarification des rôles, responsabilités et devoirs des différentes structures concernées</w:t>
      </w:r>
      <w:r>
        <w:rPr/>
        <w:br/>
      </w:r>
      <w:r>
        <w:rPr/>
        <w:br/>
      </w:r>
    </w:p>
    <w:p>
      <w:pPr/>
      <w:r>
        <w:rPr/>
        <w:t>Intérêts :</w:t>
      </w:r>
    </w:p>
    <w:p>
      <w:pPr>
        <w:numPr>
          <w:ilvl w:val="1"/>
          <w:numId w:val="2"/>
        </w:numPr>
      </w:pPr>
      <w:r>
        <w:rPr/>
        <w:t>Connaissance de la PNSC = mode de contribution à l’amélioration de la santé communautaire et à l’atteinte des objectifs fixés par l’ODD (Objectif de Développement Durable)</w:t>
      </w:r>
    </w:p>
    <w:p>
      <w:pPr>
        <w:numPr>
          <w:ilvl w:val="0"/>
          <w:numId w:val="0"/>
        </w:numPr>
      </w:pPr>
    </w:p>
    <w:p>
      <w:pPr>
        <w:pStyle w:val="Heading2"/>
      </w:pPr>
      <w:r>
        <w:rPr/>
        <w:t>VALEURS FONDAMENTALES ET PRINCIPES DIRECTEURS</w:t>
      </w:r>
    </w:p>
    <w:p>
      <w:pPr>
        <w:pStyle w:val="Heading3"/>
      </w:pPr>
      <w:r>
        <w:rPr/>
        <w:t>Valeurs fondamentales</w:t>
      </w:r>
    </w:p>
    <w:p>
      <w:pPr/>
      <w:r>
        <w:rPr/>
        <w:t>Quatre grandes valeurs :</w:t>
      </w:r>
    </w:p>
    <w:p>
      <w:pPr>
        <w:numPr>
          <w:ilvl w:val="1"/>
          <w:numId w:val="2"/>
        </w:numPr>
      </w:pPr>
      <w:r>
        <w:rPr/>
        <w:t>Représentation</w:t>
      </w:r>
    </w:p>
    <w:p>
      <w:pPr>
        <w:numPr>
          <w:ilvl w:val="1"/>
          <w:numId w:val="2"/>
        </w:numPr>
      </w:pPr>
      <w:r>
        <w:rPr/>
        <w:t>Équité</w:t>
      </w:r>
    </w:p>
    <w:p>
      <w:pPr>
        <w:numPr>
          <w:ilvl w:val="1"/>
          <w:numId w:val="2"/>
        </w:numPr>
      </w:pPr>
      <w:r>
        <w:rPr/>
        <w:t xml:space="preserve">Transparence </w:t>
      </w:r>
    </w:p>
    <w:p>
      <w:pPr>
        <w:numPr>
          <w:ilvl w:val="1"/>
          <w:numId w:val="2"/>
        </w:numPr>
      </w:pPr>
      <w:r>
        <w:rPr/>
        <w:t>Ethique</w:t>
      </w:r>
      <w:r>
        <w:rPr/>
        <w:br/>
      </w:r>
    </w:p>
    <w:p>
      <w:pPr>
        <w:pStyle w:val="Heading4"/>
      </w:pPr>
      <w:r>
        <w:rPr/>
        <w:t>Représentation</w:t>
      </w:r>
    </w:p>
    <w:p>
      <w:pPr/>
      <w:r>
        <w:rPr/>
        <w:t>Elections libres, participatives et transparentes des représentants de la communauté</w:t>
      </w:r>
    </w:p>
    <w:p>
      <w:pPr>
        <w:numPr>
          <w:ilvl w:val="0"/>
          <w:numId w:val="0"/>
        </w:numPr>
      </w:pPr>
    </w:p>
    <w:p>
      <w:pPr>
        <w:pStyle w:val="Heading4"/>
      </w:pPr>
      <w:r>
        <w:rPr/>
        <w:t>Equité</w:t>
      </w:r>
    </w:p>
    <w:p>
      <w:pPr/>
      <w:r>
        <w:rPr/>
        <w:t>Sans exclusion ni disparité sociale</w:t>
      </w:r>
    </w:p>
    <w:p>
      <w:pPr/>
      <w:r>
        <w:rPr/>
        <w:t xml:space="preserve">Chaque membre </w:t>
      </w:r>
      <w:r>
        <w:rPr/>
        <w:t>bénéificie</w:t>
      </w:r>
      <w:r>
        <w:rPr/>
        <w:t xml:space="preserve"> de toutes actions de développement sanitaire</w:t>
      </w:r>
    </w:p>
    <w:p>
      <w:pPr>
        <w:numPr>
          <w:ilvl w:val="0"/>
          <w:numId w:val="0"/>
        </w:numPr>
      </w:pPr>
    </w:p>
    <w:p>
      <w:pPr>
        <w:pStyle w:val="Heading4"/>
      </w:pPr>
      <w:r>
        <w:rPr/>
        <w:t>Transparence</w:t>
      </w:r>
    </w:p>
    <w:p>
      <w:pPr/>
      <w:r>
        <w:rPr/>
        <w:t xml:space="preserve">Partage de toutes informations sur les problèmes, les priorités, les processus de gestion, et contribution de manière participative </w:t>
      </w:r>
    </w:p>
    <w:p>
      <w:pPr>
        <w:numPr>
          <w:ilvl w:val="0"/>
          <w:numId w:val="0"/>
        </w:numPr>
      </w:pPr>
    </w:p>
    <w:p>
      <w:pPr>
        <w:pStyle w:val="Heading4"/>
      </w:pPr>
      <w:r>
        <w:rPr/>
        <w:t>Ethique</w:t>
      </w:r>
    </w:p>
    <w:p>
      <w:pPr/>
      <w:r>
        <w:rPr>
          <w:b/>
        </w:rPr>
        <w:t>Esprit d’équipe et solidarité :</w:t>
      </w:r>
      <w:r>
        <w:rPr/>
        <w:t xml:space="preserve"> régie par l’ensemble des valeurs morales</w:t>
      </w:r>
    </w:p>
    <w:p>
      <w:pPr/>
      <w:r>
        <w:rPr>
          <w:b/>
        </w:rPr>
        <w:t xml:space="preserve">Intégrité et redevabilité : </w:t>
      </w:r>
    </w:p>
    <w:p>
      <w:pPr>
        <w:numPr>
          <w:ilvl w:val="1"/>
          <w:numId w:val="2"/>
        </w:numPr>
      </w:pPr>
      <w:r>
        <w:rPr/>
        <w:t>AC et tous les acteurs communautaires sont redevables envers la communauté</w:t>
      </w:r>
    </w:p>
    <w:p>
      <w:pPr>
        <w:numPr>
          <w:ilvl w:val="1"/>
          <w:numId w:val="2"/>
        </w:numPr>
      </w:pPr>
      <w:r>
        <w:rPr/>
        <w:t>Bonne réputation, honnêtes, impartiaux et justes</w:t>
      </w:r>
    </w:p>
    <w:p>
      <w:pPr/>
      <w:r>
        <w:rPr>
          <w:b/>
        </w:rPr>
        <w:t xml:space="preserve">Respect des liens fonctionnels et des normes : </w:t>
      </w:r>
      <w:r>
        <w:rPr/>
        <w:t xml:space="preserve">AC en bonne collaboration avec les agents de santé et tous les acteurs intersectoriels </w:t>
      </w:r>
      <w:r>
        <w:rPr/>
        <w:t>oeuvrant</w:t>
      </w:r>
      <w:r>
        <w:rPr/>
        <w:t xml:space="preserve"> dans la santé communautaire</w:t>
      </w:r>
    </w:p>
    <w:p>
      <w:pPr>
        <w:numPr>
          <w:ilvl w:val="0"/>
          <w:numId w:val="0"/>
        </w:numPr>
      </w:pPr>
    </w:p>
    <w:p>
      <w:pPr>
        <w:pStyle w:val="Heading3"/>
      </w:pPr>
      <w:r>
        <w:rPr/>
        <w:t>Principes directeurs</w:t>
      </w:r>
    </w:p>
    <w:p>
      <w:pPr/>
      <w:r>
        <w:rPr/>
        <w:t>Neuf éléments constituent les lignes directrices de la PNSC :</w:t>
      </w:r>
    </w:p>
    <w:p>
      <w:pPr>
        <w:numPr>
          <w:ilvl w:val="1"/>
          <w:numId w:val="2"/>
        </w:numPr>
      </w:pPr>
      <w:r>
        <w:rPr/>
        <w:t>Volontariat et culture de performance de l’AC</w:t>
      </w:r>
    </w:p>
    <w:p>
      <w:pPr>
        <w:numPr>
          <w:ilvl w:val="1"/>
          <w:numId w:val="2"/>
        </w:numPr>
      </w:pPr>
      <w:r>
        <w:rPr/>
        <w:t>Dialogue</w:t>
      </w:r>
    </w:p>
    <w:p>
      <w:pPr>
        <w:numPr>
          <w:ilvl w:val="1"/>
          <w:numId w:val="2"/>
        </w:numPr>
      </w:pPr>
      <w:r>
        <w:rPr/>
        <w:t>Participation de la communauté</w:t>
      </w:r>
    </w:p>
    <w:p>
      <w:pPr>
        <w:numPr>
          <w:ilvl w:val="1"/>
          <w:numId w:val="2"/>
        </w:numPr>
      </w:pPr>
      <w:r>
        <w:rPr/>
        <w:t>Appropriation de la santé par la communauté</w:t>
      </w:r>
    </w:p>
    <w:p>
      <w:pPr>
        <w:numPr>
          <w:ilvl w:val="1"/>
          <w:numId w:val="2"/>
        </w:numPr>
      </w:pPr>
      <w:r>
        <w:rPr/>
        <w:t>Planification ascendante</w:t>
      </w:r>
    </w:p>
    <w:p>
      <w:pPr>
        <w:numPr>
          <w:ilvl w:val="1"/>
          <w:numId w:val="2"/>
        </w:numPr>
      </w:pPr>
      <w:r>
        <w:rPr/>
        <w:t>Intégration</w:t>
      </w:r>
    </w:p>
    <w:p>
      <w:pPr>
        <w:numPr>
          <w:ilvl w:val="1"/>
          <w:numId w:val="2"/>
        </w:numPr>
      </w:pPr>
      <w:r>
        <w:rPr/>
        <w:t>Neutralité : AC, indépendamment de son affiliation à quelque idéologie que ce soit</w:t>
      </w:r>
    </w:p>
    <w:p>
      <w:pPr>
        <w:numPr>
          <w:ilvl w:val="1"/>
          <w:numId w:val="2"/>
        </w:numPr>
      </w:pPr>
      <w:r>
        <w:rPr/>
        <w:t>Implication des autorités locales et décentralisation</w:t>
      </w:r>
    </w:p>
    <w:p>
      <w:pPr>
        <w:numPr>
          <w:ilvl w:val="0"/>
          <w:numId w:val="0"/>
        </w:numPr>
      </w:pPr>
    </w:p>
    <w:p>
      <w:pPr>
        <w:pStyle w:val="Heading2"/>
      </w:pPr>
      <w:r>
        <w:rPr/>
        <w:t>VISION, BUT, OBJECTIFS</w:t>
      </w:r>
    </w:p>
    <w:p>
      <w:pPr>
        <w:pStyle w:val="Heading3"/>
      </w:pPr>
      <w:r>
        <w:rPr/>
        <w:t>Vision</w:t>
      </w:r>
    </w:p>
    <w:p>
      <w:pPr/>
      <w:r>
        <w:rPr/>
        <w:t>Communauté, consciente de ses responsabilités pour son développement, s’approprie et participe aux interventions socio-sanitaires locales pour le bien-être de l’ensemble de ses membres</w:t>
      </w:r>
    </w:p>
    <w:p>
      <w:pPr>
        <w:numPr>
          <w:ilvl w:val="0"/>
          <w:numId w:val="0"/>
        </w:numPr>
      </w:pPr>
    </w:p>
    <w:p>
      <w:pPr>
        <w:pStyle w:val="Heading3"/>
      </w:pPr>
      <w:r>
        <w:rPr/>
        <w:t>But</w:t>
      </w:r>
    </w:p>
    <w:p>
      <w:pPr/>
      <w:r>
        <w:rPr/>
        <w:t>Améliorer le statut de santé de la communauté à travers :</w:t>
      </w:r>
    </w:p>
    <w:p>
      <w:pPr>
        <w:numPr>
          <w:ilvl w:val="1"/>
          <w:numId w:val="2"/>
        </w:numPr>
      </w:pPr>
      <w:r>
        <w:rPr/>
        <w:t>Sa participation aux actions socio-sanitaires et</w:t>
      </w:r>
    </w:p>
    <w:p>
      <w:pPr>
        <w:numPr>
          <w:ilvl w:val="1"/>
          <w:numId w:val="2"/>
        </w:numPr>
      </w:pPr>
      <w:r>
        <w:rPr/>
        <w:t xml:space="preserve">Son accès optimal à un paquet intégré d’activités </w:t>
      </w:r>
      <w:r>
        <w:rPr/>
        <w:t>promotionnelles</w:t>
      </w:r>
      <w:r>
        <w:rPr/>
      </w:r>
      <w:r>
        <w:rPr/>
        <w:t>, préventives, curatives, de réadaptation, d’urgence et de surveillance de la santé publique</w:t>
      </w:r>
    </w:p>
    <w:p>
      <w:pPr>
        <w:numPr>
          <w:ilvl w:val="0"/>
          <w:numId w:val="0"/>
        </w:numPr>
      </w:pPr>
    </w:p>
    <w:p>
      <w:pPr>
        <w:pStyle w:val="Heading3"/>
      </w:pPr>
      <w:r>
        <w:rPr/>
        <w:t>Objectifs</w:t>
      </w:r>
    </w:p>
    <w:p>
      <w:pPr/>
      <w:r>
        <w:rPr/>
        <w:t xml:space="preserve">Servir de cadre institutionnel pour orienter et harmoniser toutes les interventions socio-sanitaires </w:t>
      </w:r>
      <w:r>
        <w:rPr/>
        <w:t>impliqant</w:t>
      </w:r>
      <w:r>
        <w:rPr/>
        <w:t xml:space="preserve"> la participation communautaire en les intégrant au système de santé</w:t>
      </w:r>
    </w:p>
    <w:p>
      <w:pPr/>
      <w:r>
        <w:rPr/>
        <w:t xml:space="preserve">Faciliter la continuité de la collaboration </w:t>
      </w:r>
      <w:r>
        <w:rPr/>
        <w:t>intersectorielle</w:t>
      </w:r>
      <w:r>
        <w:rPr/>
      </w:r>
      <w:r>
        <w:rPr/>
        <w:t xml:space="preserve"> au sein du système de santé jusqu’au niveau communautaire</w:t>
      </w:r>
    </w:p>
    <w:p>
      <w:pPr/>
      <w:r>
        <w:rPr/>
        <w:t>Assurer la prestation et l’utilisation optimale des services de proximité intégrés, incluant la protection sociale, au niveau communautaire</w:t>
      </w:r>
    </w:p>
    <w:p>
      <w:pPr>
        <w:numPr>
          <w:ilvl w:val="0"/>
          <w:numId w:val="0"/>
        </w:numPr>
      </w:pPr>
    </w:p>
    <w:p>
      <w:pPr>
        <w:pStyle w:val="Heading2"/>
      </w:pPr>
      <w:r>
        <w:rPr/>
        <w:t>ORIENTATIONS STRATEGIQUES</w:t>
      </w:r>
    </w:p>
    <w:p>
      <w:pPr>
        <w:pStyle w:val="Heading3"/>
      </w:pPr>
      <w:r>
        <w:rPr/>
        <w:t>Intégration de la santé communautaire au système de santé</w:t>
      </w:r>
    </w:p>
    <w:p>
      <w:pPr/>
      <w:r>
        <w:rPr/>
        <w:t xml:space="preserve">Intégration des services à base communautaire aux soins de santé primaires, mettant ainsi en place un lien entre les </w:t>
      </w:r>
      <w:r>
        <w:rPr/>
        <w:t>interventinos</w:t>
      </w:r>
      <w:r>
        <w:rPr/>
        <w:t xml:space="preserve"> des AC et des </w:t>
      </w:r>
      <w:r>
        <w:rPr/>
        <w:t>AS</w:t>
      </w:r>
      <w:r>
        <w:rPr/>
      </w:r>
      <w:r>
        <w:rPr/>
        <w:t xml:space="preserve"> des CSB</w:t>
      </w:r>
    </w:p>
    <w:p>
      <w:pPr/>
      <w:r>
        <w:rPr/>
        <w:t>Intégration des données communautaires au système national d’information sanitaire</w:t>
      </w:r>
    </w:p>
    <w:p>
      <w:pPr/>
      <w:r>
        <w:rPr/>
        <w:t>Intégration de la gestion et du suivi des intrants de santé utilisés au niveau communautaire</w:t>
      </w:r>
    </w:p>
    <w:p>
      <w:pPr>
        <w:numPr>
          <w:ilvl w:val="0"/>
          <w:numId w:val="0"/>
        </w:numPr>
      </w:pPr>
    </w:p>
    <w:p>
      <w:pPr>
        <w:pStyle w:val="Heading3"/>
      </w:pPr>
      <w:r>
        <w:rPr/>
        <w:t>Optimisation des interventions communautaires en faveur de la promotion de la santé</w:t>
      </w:r>
    </w:p>
    <w:p>
      <w:pPr/>
      <w:r>
        <w:rPr/>
        <w:t>Education sanitaire pour stimuler la demande et l’utilisation des services par la population</w:t>
      </w:r>
    </w:p>
    <w:p>
      <w:pPr/>
      <w:r>
        <w:rPr/>
        <w:t>Sensibilisation et communication pour le changement des comportements, et adoption par la population de pratiques favorables à la santé</w:t>
      </w:r>
    </w:p>
    <w:p>
      <w:pPr/>
      <w:r>
        <w:rPr/>
        <w:t xml:space="preserve">Mobilisation sociale pour obtenir l’engagement communautaire, ainsi que la participation multisectorielle, pour la mise en </w:t>
      </w:r>
      <w:r>
        <w:rPr/>
        <w:t>oeuvre</w:t>
      </w:r>
      <w:r>
        <w:rPr/>
        <w:t xml:space="preserve"> intégrée des interventions de santé et de nutrition</w:t>
      </w:r>
    </w:p>
    <w:p>
      <w:pPr/>
      <w:r>
        <w:rPr/>
        <w:t xml:space="preserve">Mobilisation des groupements ou associations communautaires, ainsi que des réseaux ou mouvements sociaux locaux, pour le renforcement des </w:t>
      </w:r>
      <w:r>
        <w:rPr/>
        <w:t>mécanismes de collaboration intersectorielle et de partenariat élargi, incluant les Organisations de la Société Civile (OSC) et le secteur privé</w:t>
      </w:r>
      <w:r>
        <w:rPr/>
        <w:br/>
      </w:r>
    </w:p>
    <w:p>
      <w:pPr>
        <w:pStyle w:val="Heading3"/>
      </w:pPr>
      <w:r>
        <w:rPr/>
        <w:t>Mise à l’échelle des interventions communautaires intégrées</w:t>
      </w:r>
    </w:p>
    <w:p>
      <w:pPr/>
      <w:r>
        <w:rPr/>
        <w:t xml:space="preserve">Renforcement des compétences des AC pour leur permettre de mettre en </w:t>
      </w:r>
      <w:r>
        <w:rPr/>
        <w:t>œuvre</w:t>
      </w:r>
      <w:r>
        <w:rPr/>
        <w:t xml:space="preserve"> les paquets d’activités intégrés au niveau communautaire</w:t>
      </w:r>
    </w:p>
    <w:p>
      <w:pPr/>
      <w:r>
        <w:rPr/>
        <w:t xml:space="preserve">Appui du gouvernement avec ses partenaires et des parties prenantes dans la mise à l’échelle des interventions communautaires pour </w:t>
      </w:r>
      <w:r>
        <w:rPr/>
        <w:t>optimiser</w:t>
      </w:r>
      <w:r>
        <w:rPr/>
        <w:t xml:space="preserve"> l’accès équitable aux soins de l’ensemble de la population malagasy</w:t>
      </w:r>
    </w:p>
    <w:p>
      <w:pPr>
        <w:numPr>
          <w:ilvl w:val="0"/>
          <w:numId w:val="0"/>
        </w:numPr>
      </w:pPr>
    </w:p>
    <w:p>
      <w:pPr>
        <w:pStyle w:val="Heading3"/>
      </w:pPr>
      <w:r>
        <w:rPr/>
        <w:t xml:space="preserve">Coordination de la mise en </w:t>
      </w:r>
      <w:r>
        <w:rPr/>
        <w:t>œuvre</w:t>
      </w:r>
      <w:r>
        <w:rPr/>
        <w:t xml:space="preserve"> des interventions</w:t>
      </w:r>
    </w:p>
    <w:p>
      <w:pPr/>
      <w:r>
        <w:rPr/>
        <w:t>Mise en place des structures de coordination intersectorielle et interdisciplinaire à tous les niveaux en impliquant les parties prenantes et les partenaires techniques et financiers</w:t>
      </w:r>
      <w:r>
        <w:rPr/>
        <w:br/>
      </w:r>
      <w:r>
        <w:rPr/>
        <w:br/>
        <w:t>-&gt; Vocation : guider et assurer l’harmonisation de toutes les interventions de santé communautaire</w:t>
      </w:r>
    </w:p>
    <w:p>
      <w:pPr>
        <w:numPr>
          <w:ilvl w:val="0"/>
          <w:numId w:val="0"/>
        </w:numPr>
      </w:pPr>
    </w:p>
    <w:p>
      <w:pPr>
        <w:pStyle w:val="Heading3"/>
      </w:pPr>
      <w:r>
        <w:rPr/>
        <w:t>Institutionnalisation de la santé communautaire</w:t>
      </w:r>
      <w:r>
        <w:rPr/>
        <w:t xml:space="preserve"> </w:t>
      </w:r>
    </w:p>
    <w:p>
      <w:pPr/>
      <w:r>
        <w:rPr/>
        <w:t>Matérialisé par l’engagement de l’Etat en faveur du développement de la santé communautaire</w:t>
      </w:r>
    </w:p>
    <w:p>
      <w:pPr/>
      <w:r>
        <w:rPr/>
        <w:t>Arrêté interministériel fixant :</w:t>
      </w:r>
    </w:p>
    <w:p>
      <w:pPr>
        <w:numPr>
          <w:ilvl w:val="1"/>
          <w:numId w:val="2"/>
        </w:numPr>
      </w:pPr>
      <w:r>
        <w:rPr/>
        <w:t>Statuts, organisation et fonctionnement de toutes les structures opérationnelles et de coordination en matière de santé communautaire à tous les niveaux</w:t>
      </w:r>
    </w:p>
    <w:p>
      <w:pPr>
        <w:numPr>
          <w:ilvl w:val="1"/>
          <w:numId w:val="2"/>
        </w:numPr>
      </w:pPr>
      <w:r>
        <w:rPr/>
        <w:t>Ancrage, fonctionnalité et pérennisation de la santé communautaire au niveau des collectivités territoriales décentralisées</w:t>
      </w:r>
    </w:p>
    <w:p>
      <w:pPr>
        <w:numPr>
          <w:ilvl w:val="1"/>
          <w:numId w:val="2"/>
        </w:numPr>
      </w:pPr>
      <w:r>
        <w:rPr/>
        <w:t xml:space="preserve">Le statut </w:t>
      </w:r>
      <w:r>
        <w:rPr/>
        <w:t>des AC</w:t>
      </w:r>
      <w:r>
        <w:rPr/>
        <w:t>, qui est celui de volontaire :</w:t>
      </w:r>
    </w:p>
    <w:p>
      <w:pPr>
        <w:numPr>
          <w:ilvl w:val="2"/>
          <w:numId w:val="2"/>
        </w:numPr>
      </w:pPr>
      <w:r>
        <w:rPr/>
        <w:t>Soutien par l’organisation d’un système harmonisé de motivation basé sur leurs charges de prestations</w:t>
      </w:r>
    </w:p>
    <w:p>
      <w:pPr>
        <w:numPr>
          <w:ilvl w:val="2"/>
          <w:numId w:val="2"/>
        </w:numPr>
      </w:pPr>
      <w:r>
        <w:rPr/>
        <w:t>Un système de reconnaissance institutionnelle des compétences des AC, selon les niveaux de capacités qui leur ont été transférées</w:t>
      </w:r>
    </w:p>
    <w:p>
      <w:pPr>
        <w:numPr>
          <w:ilvl w:val="2"/>
          <w:numId w:val="2"/>
        </w:numPr>
      </w:pPr>
      <w:r>
        <w:rPr/>
        <w:t xml:space="preserve">Les rôles et responsabilités dévolus aux AC : activités promotionnelles, préventives, </w:t>
      </w:r>
      <w:r>
        <w:rPr/>
        <w:t>curatives</w:t>
      </w:r>
      <w:r>
        <w:rPr/>
      </w:r>
      <w:r>
        <w:rPr/>
        <w:t xml:space="preserve">, de réadaptation, de </w:t>
      </w:r>
      <w:r>
        <w:rPr/>
        <w:t>surveillance de la santé publique et de participation aux réponses d’urgence</w:t>
      </w:r>
    </w:p>
    <w:p>
      <w:pPr>
        <w:numPr>
          <w:ilvl w:val="0"/>
          <w:numId w:val="0"/>
        </w:numPr>
      </w:pPr>
    </w:p>
    <w:p>
      <w:pPr>
        <w:pStyle w:val="Heading3"/>
      </w:pPr>
      <w:r>
        <w:rPr/>
        <w:t>Harmonisation de l’approche communautaire</w:t>
      </w:r>
    </w:p>
    <w:p>
      <w:pPr/>
      <w:r>
        <w:rPr/>
        <w:t xml:space="preserve">Harmonisation des modalités de mise en </w:t>
      </w:r>
      <w:r>
        <w:rPr/>
        <w:t>oeuvre</w:t>
      </w:r>
      <w:r>
        <w:rPr/>
        <w:t xml:space="preserve"> des interventions de santé communautaire selon les normes et procédures en vigueur dans le secteur</w:t>
      </w:r>
    </w:p>
    <w:p>
      <w:pPr/>
      <w:r>
        <w:rPr/>
        <w:t>Harmonisation des modalités de motivation des intervenants en santé communautaire, dont les motivations financières et en nature, et qui tiennent compte des charges de prestation selon leurs niveaux de compétence et de performance.</w:t>
      </w:r>
    </w:p>
    <w:p>
      <w:pPr>
        <w:numPr>
          <w:ilvl w:val="0"/>
          <w:numId w:val="0"/>
        </w:numPr>
      </w:pPr>
    </w:p>
    <w:p>
      <w:pPr>
        <w:pStyle w:val="Heading3"/>
      </w:pPr>
      <w:r>
        <w:rPr/>
        <w:t>Renforcement de la recherche en santé communautaire</w:t>
      </w:r>
    </w:p>
    <w:p>
      <w:pPr/>
      <w:r>
        <w:rPr/>
        <w:t>Recherche sur</w:t>
      </w:r>
      <w:r>
        <w:rPr/>
        <w:t xml:space="preserve"> :</w:t>
      </w:r>
    </w:p>
    <w:p>
      <w:pPr>
        <w:numPr>
          <w:ilvl w:val="1"/>
          <w:numId w:val="2"/>
        </w:numPr>
      </w:pPr>
      <w:r>
        <w:rPr/>
        <w:t>Evaluation systématique de l’efficacité des AC quant à leur prestation de service</w:t>
      </w:r>
    </w:p>
    <w:p>
      <w:pPr>
        <w:numPr>
          <w:ilvl w:val="1"/>
          <w:numId w:val="2"/>
        </w:numPr>
      </w:pPr>
      <w:r>
        <w:rPr/>
        <w:t>Détermination des rôles des AC concernant les maladies non transmissibles</w:t>
      </w:r>
    </w:p>
    <w:p>
      <w:pPr>
        <w:numPr>
          <w:ilvl w:val="1"/>
          <w:numId w:val="2"/>
        </w:numPr>
      </w:pPr>
      <w:r>
        <w:rPr/>
        <w:t>Liens avec les cadres fonctionnels, la réglementation, l’accréditation, la motivation, et l’approvisionnement en médicaments et produits de base essentiels</w:t>
      </w:r>
    </w:p>
    <w:p>
      <w:pPr>
        <w:numPr>
          <w:ilvl w:val="1"/>
          <w:numId w:val="2"/>
        </w:numPr>
      </w:pPr>
      <w:r>
        <w:rPr/>
        <w:t>Pérennisation des programmes soutenus par les AC</w:t>
      </w:r>
    </w:p>
    <w:p>
      <w:pPr>
        <w:numPr>
          <w:ilvl w:val="0"/>
          <w:numId w:val="0"/>
        </w:numPr>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