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PROMOTION DE LA SANTE</w:t>
      </w:r>
    </w:p>
    <w:p>
      <w:pPr>
        <w:pStyle w:val="Heading2"/>
      </w:pPr>
      <w:r>
        <w:rPr/>
        <w:t>Objectifs :</w:t>
      </w:r>
    </w:p>
    <w:p>
      <w:pPr>
        <w:numPr>
          <w:ilvl w:val="1"/>
          <w:numId w:val="2"/>
        </w:numPr>
      </w:pPr>
      <w:r>
        <w:rPr/>
        <w:t>Définir la promotion de la santé</w:t>
      </w:r>
    </w:p>
    <w:p>
      <w:pPr>
        <w:numPr>
          <w:ilvl w:val="1"/>
          <w:numId w:val="2"/>
        </w:numPr>
      </w:pPr>
      <w:r>
        <w:rPr/>
        <w:t>Citer les 5 niveaux d’action de la promotion de la santé</w:t>
      </w:r>
    </w:p>
    <w:p>
      <w:pPr>
        <w:numPr>
          <w:ilvl w:val="1"/>
          <w:numId w:val="2"/>
        </w:numPr>
      </w:pPr>
      <w:r>
        <w:rPr/>
        <w:t>Expliquer les 3 axes stratégiques adoptés en matière de promotion de la santé</w:t>
      </w:r>
    </w:p>
    <w:p>
      <w:pPr>
        <w:numPr>
          <w:ilvl w:val="1"/>
          <w:numId w:val="2"/>
        </w:numPr>
      </w:pPr>
      <w:r>
        <w:rPr/>
        <w:t>Décrire les 7 éléments caractéristiques de la promotion de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/>
      <w:r>
        <w:rPr/>
        <w:t>La santé communautaire passe toujours par la promotion de la santé</w:t>
      </w:r>
    </w:p>
    <w:p>
      <w:pPr/>
      <w:r>
        <w:rPr/>
        <w:t>Promotion de la santé (Charte d’Ottawa, 2006)</w:t>
      </w:r>
      <w:r>
        <w:rPr/>
        <w:br/>
      </w:r>
      <w:r>
        <w:rPr/>
        <w:br/>
        <w:t>« Processus qui confère à la population, individuellement et collectivement</w:t>
      </w:r>
      <w:r>
        <w:rPr/>
        <w:t>, d’augmenter leur contrôle sur leur état de santé ainsi que leurs déterminants » (OMS)</w:t>
      </w:r>
      <w:r>
        <w:rPr/>
        <w:br/>
      </w:r>
      <w:r>
        <w:rPr/>
        <w:br/>
      </w:r>
      <w:r>
        <w:rPr/>
      </w:r>
      <w:r>
        <w:rPr/>
        <w:t xml:space="preserve"> Autonomisation et responsabilisation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CINQ NIVEAUX D’ACTION</w:t>
      </w:r>
    </w:p>
    <w:p>
      <w:pPr/>
      <w:r>
        <w:rPr/>
        <w:t>1. Elaboration de politique pour la santé</w:t>
      </w:r>
    </w:p>
    <w:p>
      <w:pPr/>
      <w:r>
        <w:rPr/>
        <w:t>2. Création d’environnement favorable</w:t>
      </w:r>
    </w:p>
    <w:p>
      <w:pPr/>
      <w:r>
        <w:rPr/>
        <w:t>3. Renforcement de l’action communautaire</w:t>
      </w:r>
    </w:p>
    <w:p>
      <w:pPr/>
      <w:r>
        <w:rPr/>
        <w:t>4. Acquisition d’aptitudes individuelles</w:t>
      </w:r>
    </w:p>
    <w:p>
      <w:pPr/>
      <w:r>
        <w:rPr/>
        <w:t>5. Réorientation des services de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PRINCIPES</w:t>
      </w:r>
    </w:p>
    <w:p>
      <w:pPr/>
      <w:r>
        <w:rPr/>
        <w:t>Donner à la communauté le pouvoir d’agir sur les déterminants de la santé</w:t>
      </w:r>
    </w:p>
    <w:p>
      <w:pPr>
        <w:ind w:left="720" w:hanging="360"/>
        <w:numPr>
          <w:ilvl w:val="0"/>
          <w:numId w:val="0"/>
        </w:numPr>
      </w:pPr>
    </w:p>
    <w:p>
      <w:pPr>
        <w:ind w:left="720" w:hanging="360"/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22098000" cy="16535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0" cy="1653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hanging="360"/>
        <w:numPr>
          <w:ilvl w:val="0"/>
          <w:numId w:val="0"/>
        </w:numPr>
      </w:pPr>
    </w:p>
    <w:p>
      <w:pPr/>
      <w:r>
        <w:rPr/>
        <w:t>Santé : « Droit humain fondamental »</w:t>
      </w:r>
    </w:p>
    <w:p>
      <w:pPr/>
      <w:r>
        <w:rPr/>
        <w:t>Action sur les conditions favorables à la santé</w:t>
      </w:r>
    </w:p>
    <w:p>
      <w:pPr/>
      <w:r>
        <w:rPr/>
        <w:t>Participation de la communauté</w:t>
      </w:r>
    </w:p>
    <w:p>
      <w:pPr/>
      <w:r>
        <w:rPr/>
        <w:t>Collaboration / partenariat multisectoriel</w:t>
      </w:r>
    </w:p>
    <w:p>
      <w:pPr/>
      <w:r>
        <w:rPr/>
        <w:t>Délivrance des services préventifs et curatifs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RÔLES DES PROMOTEURS DE LA SANTE</w:t>
      </w:r>
    </w:p>
    <w:p>
      <w:pPr/>
      <w:r>
        <w:rPr/>
        <w:t>1. Catalyseur</w:t>
      </w:r>
    </w:p>
    <w:p>
      <w:pPr/>
      <w:r>
        <w:rPr/>
        <w:t>2. Appui</w:t>
      </w:r>
    </w:p>
    <w:p>
      <w:pPr/>
      <w:r>
        <w:rPr/>
        <w:t>3. Lien (</w:t>
      </w:r>
      <w:r>
        <w:rPr>
          <w:i/>
        </w:rPr>
        <w:t>entre la communauté et la formation sanitaire)</w:t>
      </w:r>
    </w:p>
    <w:p>
      <w:pPr/>
      <w:r>
        <w:rPr/>
        <w:t xml:space="preserve">4. Médiateur </w:t>
      </w:r>
      <w:r>
        <w:rPr>
          <w:i/>
        </w:rPr>
        <w:t>(entre les différents secteurs œuvrant pour la santé)</w:t>
      </w:r>
    </w:p>
    <w:p>
      <w:pPr/>
      <w:r>
        <w:rPr/>
        <w:t>5. Coach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STRATEGIES</w:t>
      </w:r>
    </w:p>
    <w:p>
      <w:pPr/>
      <w:r>
        <w:rPr/>
        <w:t>3 grandes stratégies (OMS/AFRO)</w:t>
      </w:r>
    </w:p>
    <w:p>
      <w:pPr>
        <w:numPr>
          <w:ilvl w:val="1"/>
          <w:numId w:val="2"/>
        </w:numPr>
      </w:pPr>
      <w:r>
        <w:rPr/>
        <w:t>Développement des connaissances et aptitudes communautaires</w:t>
      </w:r>
    </w:p>
    <w:p>
      <w:pPr>
        <w:numPr>
          <w:ilvl w:val="1"/>
          <w:numId w:val="2"/>
        </w:numPr>
      </w:pPr>
      <w:r>
        <w:rPr/>
        <w:t>Création d’environnement favorable</w:t>
      </w:r>
    </w:p>
    <w:p>
      <w:pPr>
        <w:numPr>
          <w:ilvl w:val="1"/>
          <w:numId w:val="2"/>
        </w:numPr>
      </w:pPr>
      <w:r>
        <w:rPr/>
        <w:t>Plaidoyer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Développement des connaissances et aptitudes communautaires</w:t>
      </w:r>
    </w:p>
    <w:p>
      <w:pPr/>
      <w:r>
        <w:rPr/>
        <w:t>Renforcement des connaissances et des aptitudes de la communauté</w:t>
      </w:r>
    </w:p>
    <w:p>
      <w:pPr/>
      <w:r>
        <w:rPr/>
        <w:t>Motivation pour l’action sanitaire</w:t>
      </w:r>
    </w:p>
    <w:p>
      <w:pPr/>
      <w:r>
        <w:rPr/>
        <w:t>Renforcement des attitudes positives en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ListParagraph"/>
        <w:numPr>
          <w:ilvl w:val="0"/>
          <w:numId w:val="25"/>
        </w:numPr>
      </w:pPr>
      <w:r>
        <w:rPr/>
        <w:t>La mise en œuvre de cette stratégie conduit à l’</w:t>
      </w:r>
      <w:r>
        <w:rPr/>
        <w:t>empowerment</w:t>
      </w:r>
      <w:r>
        <w:rPr/>
        <w:t xml:space="preserve"> pour la santé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Création d’environnement favorables</w:t>
      </w:r>
    </w:p>
    <w:p>
      <w:pPr/>
      <w:r>
        <w:rPr/>
        <w:t>Médiation pour concilier les différents intérêts des individus et des communautés</w:t>
      </w:r>
    </w:p>
    <w:p>
      <w:pPr/>
      <w:r>
        <w:rPr/>
        <w:t>Réglementation comprenant des lois à caractères juridique, fiscal, économique ou portant sur l’environnement</w:t>
      </w:r>
    </w:p>
    <w:p>
      <w:pPr/>
      <w:r>
        <w:rPr/>
        <w:t>Elaboration de politiques d’intérêt général, normes et mesures en faveur de la santé, etc.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Plaidoyer pour la santé</w:t>
      </w:r>
    </w:p>
    <w:p>
      <w:pPr/>
      <w:r>
        <w:rPr/>
      </w:r>
      <w:r>
        <w:rPr/>
        <w:t xml:space="preserve"> Combinaison d’actions individuelles et sociales menées en direction des décideurs et leaders à tous les niveaux pour : </w:t>
      </w:r>
    </w:p>
    <w:p>
      <w:pPr>
        <w:numPr>
          <w:ilvl w:val="1"/>
          <w:numId w:val="2"/>
        </w:numPr>
      </w:pPr>
      <w:r>
        <w:rPr/>
        <w:t xml:space="preserve">Créer les conditions favorables à la mise en œuvre </w:t>
      </w:r>
      <w:r>
        <w:rPr/>
        <w:t>d’une action d’intérêt social donnée</w:t>
      </w:r>
    </w:p>
    <w:p>
      <w:pPr>
        <w:numPr>
          <w:ilvl w:val="1"/>
          <w:numId w:val="2"/>
        </w:numPr>
      </w:pPr>
      <w:r>
        <w:rPr/>
        <w:t>Et spécialement pour accroître les ressources et le soutien politique à l’action sanitaire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Eléments caractéristiques de la promotion de la santé</w:t>
      </w:r>
    </w:p>
    <w:p>
      <w:pPr/>
      <w:r>
        <w:rPr/>
        <w:t>Participation et Développement communautaire</w:t>
      </w:r>
    </w:p>
    <w:p>
      <w:pPr/>
      <w:r>
        <w:rPr/>
        <w:t>Empowerment</w:t>
      </w:r>
    </w:p>
    <w:p>
      <w:pPr/>
      <w:r>
        <w:rPr/>
        <w:t>Contextualisme</w:t>
      </w:r>
    </w:p>
    <w:p>
      <w:pPr/>
      <w:r>
        <w:rPr/>
        <w:t>Multistratégie</w:t>
      </w:r>
    </w:p>
    <w:p>
      <w:pPr/>
      <w:r>
        <w:rPr/>
        <w:t>Multisectorialisme</w:t>
      </w:r>
    </w:p>
    <w:p>
      <w:pPr/>
      <w:r>
        <w:rPr/>
        <w:t>Equité</w:t>
      </w:r>
    </w:p>
    <w:p>
      <w:pPr/>
      <w:r>
        <w:rPr/>
        <w:t>Durabilité / Pérennité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Participation et développement communautaire</w:t>
      </w:r>
    </w:p>
    <w:p>
      <w:pPr/>
      <w:r>
        <w:rPr/>
        <w:t>Participation à tous les niveaux</w:t>
      </w:r>
    </w:p>
    <w:p>
      <w:pPr>
        <w:numPr>
          <w:ilvl w:val="1"/>
          <w:numId w:val="2"/>
        </w:numPr>
      </w:pPr>
      <w:r>
        <w:rPr/>
        <w:t>Choix des priorités, objectifs, plan d’action</w:t>
      </w:r>
    </w:p>
    <w:p>
      <w:pPr>
        <w:numPr>
          <w:ilvl w:val="1"/>
          <w:numId w:val="2"/>
        </w:numPr>
      </w:pPr>
      <w:r>
        <w:rPr/>
        <w:t>Local, régional, national (« états généraux »)</w:t>
      </w:r>
      <w:r>
        <w:rPr/>
        <w:br/>
      </w:r>
      <w:r>
        <w:rPr/>
        <w:br/>
      </w:r>
      <w:r>
        <w:rPr/>
      </w:r>
      <w:r>
        <w:rPr/>
        <w:t xml:space="preserve"> Culture sanitaire et processus d’</w:t>
      </w:r>
      <w:r>
        <w:rPr/>
        <w:t>empowerment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Empowerment</w:t>
      </w:r>
    </w:p>
    <w:p>
      <w:pPr/>
      <w:r>
        <w:rPr>
          <w:b/>
        </w:rPr>
        <w:t xml:space="preserve">Définition : </w:t>
      </w:r>
      <w:r>
        <w:rPr/>
        <w:t>« Processus par lequel les individus et les communautés ont les conditions de prendre le pouvoir, et d’être réellement acteurs de la transformation de leur vie et de leur environnement » (prendre, recevoir, gagner du pouvoir)</w:t>
      </w:r>
    </w:p>
    <w:p>
      <w:pPr>
        <w:ind w:left="1068" w:hanging="360"/>
        <w:jc w:val="right"/>
        <w:numPr>
          <w:ilvl w:val="0"/>
          <w:numId w:val="0"/>
        </w:numPr>
      </w:pPr>
      <w:r>
        <w:rPr/>
        <w:t xml:space="preserve">Robertson et </w:t>
      </w:r>
      <w:r>
        <w:rPr/>
        <w:t>Minkler</w:t>
      </w:r>
      <w:r>
        <w:rPr/>
        <w:t>, 1994</w:t>
      </w:r>
    </w:p>
    <w:p>
      <w:pPr>
        <w:ind w:left="1068" w:hanging="360"/>
        <w:jc w:val="right"/>
        <w:numPr>
          <w:ilvl w:val="0"/>
          <w:numId w:val="0"/>
        </w:numPr>
      </w:pPr>
    </w:p>
    <w:p>
      <w:pPr/>
      <w:r>
        <w:rPr/>
        <w:t>Différents niveaux d’</w:t>
      </w:r>
      <w:r>
        <w:rPr/>
        <w:t>empowerment</w:t>
      </w:r>
      <w:r>
        <w:rPr/>
        <w:t xml:space="preserve"> :</w:t>
      </w:r>
    </w:p>
    <w:p>
      <w:pPr>
        <w:numPr>
          <w:ilvl w:val="1"/>
          <w:numId w:val="2"/>
        </w:numPr>
      </w:pPr>
      <w:r>
        <w:rPr/>
        <w:t>Individuel (ex : chez un patient, individu)</w:t>
      </w:r>
    </w:p>
    <w:p>
      <w:pPr>
        <w:numPr>
          <w:ilvl w:val="1"/>
          <w:numId w:val="2"/>
        </w:numPr>
      </w:pPr>
      <w:r>
        <w:rPr/>
        <w:t>Organisationnel ou de groupe (thématique, de genre, ...)</w:t>
      </w:r>
    </w:p>
    <w:p>
      <w:pPr>
        <w:numPr>
          <w:ilvl w:val="1"/>
          <w:numId w:val="2"/>
        </w:numPr>
      </w:pPr>
      <w:r>
        <w:rPr/>
        <w:t>Communautaire (communauté)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Contextualisme</w:t>
      </w:r>
    </w:p>
    <w:p>
      <w:pPr/>
      <w:r>
        <w:rPr/>
        <w:t>« La bactérie n’est rien, le terrain est tout », Pasteur</w:t>
      </w:r>
    </w:p>
    <w:p>
      <w:pPr/>
      <w:r>
        <w:rPr/>
        <w:t>Importance des caractéristiques</w:t>
      </w:r>
    </w:p>
    <w:p>
      <w:pPr>
        <w:numPr>
          <w:ilvl w:val="1"/>
          <w:numId w:val="2"/>
        </w:numPr>
      </w:pPr>
      <w:r>
        <w:rPr/>
        <w:t>Sociales</w:t>
      </w:r>
    </w:p>
    <w:p>
      <w:pPr>
        <w:numPr>
          <w:ilvl w:val="1"/>
          <w:numId w:val="2"/>
        </w:numPr>
      </w:pPr>
      <w:r>
        <w:rPr/>
        <w:t>Cognitives</w:t>
      </w:r>
    </w:p>
    <w:p>
      <w:pPr>
        <w:numPr>
          <w:ilvl w:val="1"/>
          <w:numId w:val="2"/>
        </w:numPr>
      </w:pPr>
      <w:r>
        <w:rPr/>
        <w:t>Psychologiques</w:t>
      </w:r>
    </w:p>
    <w:p>
      <w:pPr>
        <w:numPr>
          <w:ilvl w:val="1"/>
          <w:numId w:val="2"/>
        </w:numPr>
      </w:pPr>
      <w:r>
        <w:rPr/>
        <w:t>Culturelles</w:t>
      </w:r>
    </w:p>
    <w:p>
      <w:pPr>
        <w:numPr>
          <w:ilvl w:val="1"/>
          <w:numId w:val="2"/>
        </w:numPr>
      </w:pPr>
      <w:r>
        <w:rPr/>
        <w:t>Economiques</w:t>
      </w:r>
    </w:p>
    <w:p>
      <w:pPr>
        <w:numPr>
          <w:ilvl w:val="1"/>
          <w:numId w:val="2"/>
        </w:numPr>
      </w:pPr>
      <w:r>
        <w:rPr/>
        <w:t>Environnementales</w:t>
      </w:r>
      <w:r>
        <w:rPr/>
        <w:br/>
      </w:r>
    </w:p>
    <w:p>
      <w:pPr/>
      <w:r>
        <w:rPr/>
        <w:t xml:space="preserve">Qui diffèrent d’un contexte à un autre </w:t>
      </w:r>
      <w:r>
        <w:rPr/>
      </w:r>
      <w:r>
        <w:rPr/>
        <w:t xml:space="preserve"> Problème local, solution locale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Multistratégie</w:t>
      </w:r>
    </w:p>
    <w:p>
      <w:pPr/>
      <w:r>
        <w:rPr/>
        <w:t xml:space="preserve"> Utilisation de plusieurs stratégies, approches et méthodes</w:t>
      </w:r>
    </w:p>
    <w:p>
      <w:pPr>
        <w:numPr>
          <w:ilvl w:val="1"/>
          <w:numId w:val="2"/>
        </w:numPr>
      </w:pPr>
      <w:r>
        <w:rPr/>
        <w:t>Elaboration de politiques favorables à la santé</w:t>
      </w:r>
    </w:p>
    <w:p>
      <w:pPr>
        <w:numPr>
          <w:ilvl w:val="1"/>
          <w:numId w:val="2"/>
        </w:numPr>
      </w:pPr>
      <w:r>
        <w:rPr/>
        <w:t>Législation</w:t>
      </w:r>
    </w:p>
    <w:p>
      <w:pPr>
        <w:numPr>
          <w:ilvl w:val="1"/>
          <w:numId w:val="2"/>
        </w:numPr>
      </w:pPr>
      <w:r>
        <w:rPr/>
        <w:t>Changement organisationnel</w:t>
      </w:r>
    </w:p>
    <w:p>
      <w:pPr>
        <w:numPr>
          <w:ilvl w:val="1"/>
          <w:numId w:val="2"/>
        </w:numPr>
      </w:pPr>
      <w:r>
        <w:rPr/>
        <w:t>Plaidoyer, Education, Communication</w:t>
      </w:r>
    </w:p>
    <w:p>
      <w:pPr>
        <w:numPr>
          <w:ilvl w:val="1"/>
          <w:numId w:val="2"/>
        </w:numPr>
      </w:pPr>
      <w:r>
        <w:rPr/>
        <w:t>Développement communautaire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Intersectorialité (</w:t>
      </w:r>
      <w:r>
        <w:rPr/>
        <w:t>multisectorialisme</w:t>
      </w:r>
      <w:r>
        <w:rPr/>
        <w:t>)</w:t>
      </w:r>
    </w:p>
    <w:p>
      <w:pPr/>
      <w:r>
        <w:rPr/>
        <w:t>Complémentarité des politiques ET des services</w:t>
      </w:r>
      <w:r>
        <w:rPr/>
        <w:br/>
      </w:r>
      <w:r>
        <w:rPr/>
        <w:br/>
        <w:t>« La main gauche et la main droite … »</w:t>
      </w:r>
    </w:p>
    <w:p>
      <w:pPr/>
      <w:r>
        <w:rPr/>
        <w:t>Ex : Politique de l’urbanisation incluant les aspects santé :</w:t>
      </w:r>
    </w:p>
    <w:p>
      <w:pPr>
        <w:numPr>
          <w:ilvl w:val="1"/>
          <w:numId w:val="2"/>
        </w:numPr>
      </w:pPr>
      <w:r>
        <w:rPr/>
        <w:t>Gestion des déchets</w:t>
      </w:r>
    </w:p>
    <w:p>
      <w:pPr>
        <w:numPr>
          <w:ilvl w:val="1"/>
          <w:numId w:val="2"/>
        </w:numPr>
      </w:pPr>
      <w:r>
        <w:rPr/>
        <w:t>Contrôle de la pollution</w:t>
      </w:r>
    </w:p>
    <w:p>
      <w:pPr>
        <w:numPr>
          <w:ilvl w:val="1"/>
          <w:numId w:val="2"/>
        </w:numPr>
      </w:pPr>
      <w:r>
        <w:rPr/>
        <w:t>Etc.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3"/>
      </w:pPr>
      <w:r>
        <w:rPr/>
        <w:t>Equité</w:t>
      </w:r>
    </w:p>
    <w:p>
      <w:pPr/>
      <w:r>
        <w:rPr/>
        <w:t>Equité : Différents moyens mais même objectifs</w:t>
      </w:r>
    </w:p>
    <w:p>
      <w:pPr>
        <w:ind w:left="720" w:hanging="360"/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4450080" cy="3334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3334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720" w:hanging="360"/>
        <w:numPr>
          <w:ilvl w:val="0"/>
          <w:numId w:val="0"/>
        </w:numPr>
      </w:pPr>
    </w:p>
    <w:p>
      <w:pPr/>
      <w:r>
        <w:rPr/>
        <w:t>Justice sociale</w:t>
      </w:r>
    </w:p>
    <w:p>
      <w:pPr/>
      <w:r>
        <w:rPr/>
        <w:t>Egalité des chances ou « égalité équitable des chances » afin que personne ne soit désavantagé dans sa capacité à atteindre son plein potentiel de santé</w:t>
      </w:r>
    </w:p>
    <w:p>
      <w:pPr>
        <w:ind w:left="360"/>
        <w:jc w:val="right"/>
        <w:numPr>
          <w:ilvl w:val="0"/>
          <w:numId w:val="0"/>
        </w:numPr>
      </w:pPr>
      <w:r>
        <w:rPr/>
        <w:t>Ridde</w:t>
      </w:r>
      <w:r>
        <w:rPr/>
        <w:t xml:space="preserve">, Guichard et </w:t>
      </w:r>
      <w:r>
        <w:rPr/>
        <w:t>Horreto</w:t>
      </w:r>
      <w:r>
        <w:rPr/>
        <w:t>, 2007</w:t>
      </w:r>
    </w:p>
    <w:p>
      <w:pPr>
        <w:ind w:left="360"/>
        <w:jc w:val="right"/>
        <w:numPr>
          <w:ilvl w:val="0"/>
          <w:numId w:val="0"/>
        </w:numPr>
      </w:pPr>
    </w:p>
    <w:p>
      <w:pPr>
        <w:pStyle w:val="Heading3"/>
      </w:pPr>
      <w:r>
        <w:rPr/>
        <w:t>Durabilité / Pérennité</w:t>
      </w:r>
    </w:p>
    <w:p>
      <w:pPr/>
      <w:r>
        <w:rPr/>
        <w:t>Action qui dure… dure dans le temps</w:t>
      </w:r>
    </w:p>
    <w:p>
      <w:pPr/>
      <w:r>
        <w:rPr/>
        <w:t xml:space="preserve">Conséquence d’une « autonomisation » </w:t>
      </w:r>
      <w:r>
        <w:rPr/>
      </w:r>
      <w:r>
        <w:rPr/>
        <w:t xml:space="preserve"> acquise dans l’action à partir de la participation appropriative conduisant à l’</w:t>
      </w:r>
      <w:r>
        <w:rPr/>
        <w:t>empowerment</w:t>
      </w:r>
      <w:r>
        <w:rPr/>
        <w:t>, à travers :</w:t>
      </w:r>
    </w:p>
    <w:p>
      <w:pPr>
        <w:numPr>
          <w:ilvl w:val="1"/>
          <w:numId w:val="2"/>
        </w:numPr>
      </w:pPr>
      <w:r>
        <w:rPr/>
        <w:t>La planification</w:t>
      </w:r>
    </w:p>
    <w:p>
      <w:pPr>
        <w:numPr>
          <w:ilvl w:val="1"/>
          <w:numId w:val="2"/>
        </w:numPr>
      </w:pPr>
      <w:r>
        <w:rPr/>
        <w:t>La mise en œuvre</w:t>
      </w:r>
    </w:p>
    <w:p>
      <w:pPr>
        <w:numPr>
          <w:ilvl w:val="1"/>
          <w:numId w:val="2"/>
        </w:numPr>
      </w:pPr>
      <w:r>
        <w:rPr/>
        <w:t>L’évaluation</w:t>
      </w:r>
      <w:r>
        <w:rPr/>
        <w:br/>
      </w:r>
      <w:r>
        <w:rPr/>
        <w:br/>
      </w:r>
      <w:r>
        <w:rPr/>
      </w:r>
      <w:r>
        <w:rPr/>
        <w:t xml:space="preserve"> </w:t>
      </w:r>
      <w:r>
        <w:rPr/>
        <w:t>Empowerment</w:t>
      </w:r>
      <w:r>
        <w:rPr/>
        <w:t xml:space="preserve"> social</w:t>
      </w:r>
    </w:p>
    <w:p>
      <w:pPr>
        <w:ind w:left="720" w:hanging="360"/>
        <w:numPr>
          <w:ilvl w:val="0"/>
          <w:numId w:val="0"/>
        </w:numPr>
      </w:pPr>
    </w:p>
    <w:p>
      <w:pPr>
        <w:pStyle w:val="Heading2"/>
      </w:pPr>
      <w:r>
        <w:rPr/>
        <w:t>CONCLUSION</w:t>
      </w:r>
    </w:p>
    <w:p>
      <w:pPr/>
      <w:r>
        <w:rPr/>
        <w:t>Promouvoir la santé, c’est penser globalement et agir localement</w:t>
      </w:r>
    </w:p>
    <w:p>
      <w:pPr/>
      <w:r>
        <w:rPr/>
        <w:t>Santé pour la communauté et par la communauté</w:t>
      </w:r>
    </w:p>
    <w:p>
      <w:pPr/>
      <w:r>
        <w:rPr/>
        <w:t>Rôle important des médiateurs, négociateurs et professionnels de santé</w:t>
      </w:r>
    </w:p>
    <w:p>
      <w:pPr/>
      <w:r>
        <w:rPr/>
        <w:t>Promotion de la santé : Base des actions de santé publique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