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0AA9" w14:textId="77777777" w:rsidR="00881D21" w:rsidRPr="002E1CA4" w:rsidRDefault="00102041">
      <w:pPr>
        <w:jc w:val="center"/>
        <w:rPr>
          <w:b/>
          <w:sz w:val="26"/>
          <w:szCs w:val="26"/>
        </w:rPr>
      </w:pPr>
      <w:r w:rsidRPr="002E1CA4">
        <w:rPr>
          <w:b/>
          <w:sz w:val="26"/>
          <w:szCs w:val="26"/>
        </w:rPr>
        <w:t>UNIVERSIDAD AUTÓNOMA DE NUEVO LEÓN</w:t>
      </w:r>
    </w:p>
    <w:p w14:paraId="2704D8D4" w14:textId="77777777" w:rsidR="00881D21" w:rsidRPr="002E1CA4" w:rsidRDefault="00881D21">
      <w:pPr>
        <w:jc w:val="center"/>
        <w:rPr>
          <w:b/>
          <w:sz w:val="26"/>
          <w:szCs w:val="26"/>
        </w:rPr>
      </w:pPr>
    </w:p>
    <w:p w14:paraId="7FFEF1FD" w14:textId="77777777" w:rsidR="00881D21" w:rsidRPr="002E1CA4" w:rsidRDefault="00881D21">
      <w:pPr>
        <w:jc w:val="center"/>
        <w:rPr>
          <w:b/>
          <w:sz w:val="26"/>
          <w:szCs w:val="26"/>
        </w:rPr>
      </w:pPr>
    </w:p>
    <w:p w14:paraId="729660DB" w14:textId="77777777" w:rsidR="00881D21" w:rsidRPr="002E1CA4" w:rsidRDefault="00881D21">
      <w:pPr>
        <w:jc w:val="center"/>
        <w:rPr>
          <w:b/>
          <w:sz w:val="26"/>
          <w:szCs w:val="26"/>
        </w:rPr>
      </w:pPr>
    </w:p>
    <w:p w14:paraId="0E0EAB9F" w14:textId="77777777" w:rsidR="00881D21" w:rsidRPr="002E1CA4" w:rsidRDefault="00102041">
      <w:pPr>
        <w:jc w:val="center"/>
        <w:rPr>
          <w:sz w:val="26"/>
          <w:szCs w:val="26"/>
        </w:rPr>
      </w:pPr>
      <w:r w:rsidRPr="002E1CA4">
        <w:rPr>
          <w:sz w:val="26"/>
          <w:szCs w:val="26"/>
        </w:rPr>
        <w:t>FACULTAD DE CIENCIAS FÍSICO MATEMÁTICAS</w:t>
      </w:r>
    </w:p>
    <w:p w14:paraId="63DAA231" w14:textId="77777777" w:rsidR="00881D21" w:rsidRPr="002E1CA4" w:rsidRDefault="00881D21">
      <w:pPr>
        <w:jc w:val="center"/>
        <w:rPr>
          <w:sz w:val="26"/>
          <w:szCs w:val="26"/>
        </w:rPr>
      </w:pPr>
    </w:p>
    <w:p w14:paraId="558D0AD1" w14:textId="77777777" w:rsidR="00881D21" w:rsidRPr="002E1CA4" w:rsidRDefault="00881D21">
      <w:pPr>
        <w:jc w:val="center"/>
        <w:rPr>
          <w:b/>
          <w:sz w:val="26"/>
          <w:szCs w:val="26"/>
        </w:rPr>
      </w:pPr>
    </w:p>
    <w:p w14:paraId="1EE4C5AD" w14:textId="77777777" w:rsidR="00881D21" w:rsidRPr="002E1CA4" w:rsidRDefault="00881D21">
      <w:pPr>
        <w:jc w:val="center"/>
        <w:rPr>
          <w:b/>
          <w:sz w:val="26"/>
          <w:szCs w:val="26"/>
        </w:rPr>
      </w:pPr>
    </w:p>
    <w:p w14:paraId="498037D8" w14:textId="77777777" w:rsidR="00881D21" w:rsidRPr="002E1CA4" w:rsidRDefault="00102041">
      <w:pPr>
        <w:jc w:val="center"/>
        <w:rPr>
          <w:b/>
          <w:sz w:val="26"/>
          <w:szCs w:val="26"/>
        </w:rPr>
      </w:pPr>
      <w:r w:rsidRPr="002E1CA4">
        <w:rPr>
          <w:noProof/>
          <w:sz w:val="26"/>
          <w:szCs w:val="26"/>
        </w:rPr>
        <w:drawing>
          <wp:inline distT="0" distB="0" distL="0" distR="0" wp14:anchorId="7634E0C3" wp14:editId="659F9CC9">
            <wp:extent cx="1786928" cy="18000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86928" cy="1800000"/>
                    </a:xfrm>
                    <a:prstGeom prst="rect">
                      <a:avLst/>
                    </a:prstGeom>
                    <a:ln/>
                  </pic:spPr>
                </pic:pic>
              </a:graphicData>
            </a:graphic>
          </wp:inline>
        </w:drawing>
      </w:r>
    </w:p>
    <w:p w14:paraId="56EB2392" w14:textId="77777777" w:rsidR="00881D21" w:rsidRPr="002E1CA4" w:rsidRDefault="00881D21">
      <w:pPr>
        <w:jc w:val="center"/>
        <w:rPr>
          <w:b/>
          <w:sz w:val="26"/>
          <w:szCs w:val="26"/>
        </w:rPr>
      </w:pPr>
    </w:p>
    <w:p w14:paraId="15C08A88" w14:textId="77777777" w:rsidR="00881D21" w:rsidRPr="002E1CA4" w:rsidRDefault="00881D21">
      <w:pPr>
        <w:jc w:val="center"/>
        <w:rPr>
          <w:b/>
          <w:sz w:val="26"/>
          <w:szCs w:val="26"/>
        </w:rPr>
      </w:pPr>
    </w:p>
    <w:p w14:paraId="168F4BDD" w14:textId="77777777" w:rsidR="00881D21" w:rsidRPr="002E1CA4" w:rsidRDefault="00881D21">
      <w:pPr>
        <w:jc w:val="center"/>
        <w:rPr>
          <w:b/>
          <w:sz w:val="26"/>
          <w:szCs w:val="26"/>
        </w:rPr>
      </w:pPr>
    </w:p>
    <w:p w14:paraId="74344D3C" w14:textId="77777777" w:rsidR="00A3288C" w:rsidRPr="002E1CA4" w:rsidRDefault="00A3288C" w:rsidP="00A3288C">
      <w:pPr>
        <w:jc w:val="center"/>
        <w:rPr>
          <w:sz w:val="26"/>
          <w:szCs w:val="26"/>
        </w:rPr>
      </w:pPr>
      <w:r w:rsidRPr="002E1CA4">
        <w:rPr>
          <w:sz w:val="26"/>
          <w:szCs w:val="26"/>
        </w:rPr>
        <w:t xml:space="preserve">PREDICCIÓN DE QUINTILES DE RENDIMIENTO RELATIVO </w:t>
      </w:r>
    </w:p>
    <w:p w14:paraId="00576764" w14:textId="77777777" w:rsidR="00A3288C" w:rsidRPr="002E1CA4" w:rsidRDefault="00A3288C" w:rsidP="00A3288C">
      <w:pPr>
        <w:jc w:val="center"/>
        <w:rPr>
          <w:sz w:val="26"/>
          <w:szCs w:val="26"/>
        </w:rPr>
      </w:pPr>
      <w:r w:rsidRPr="002E1CA4">
        <w:rPr>
          <w:sz w:val="26"/>
          <w:szCs w:val="26"/>
        </w:rPr>
        <w:t xml:space="preserve">Y OPTIMIZACIÓN DE ESTRATEGIAS DE INVERSIÓN </w:t>
      </w:r>
    </w:p>
    <w:p w14:paraId="76832F90" w14:textId="1583E791" w:rsidR="00881D21" w:rsidRPr="002E1CA4" w:rsidRDefault="00A3288C" w:rsidP="00A3288C">
      <w:pPr>
        <w:jc w:val="center"/>
        <w:rPr>
          <w:sz w:val="26"/>
          <w:szCs w:val="26"/>
        </w:rPr>
      </w:pPr>
      <w:r w:rsidRPr="002E1CA4">
        <w:rPr>
          <w:sz w:val="26"/>
          <w:szCs w:val="26"/>
        </w:rPr>
        <w:t>EN EL SECTOR DE SEMICONDUCTORES</w:t>
      </w:r>
    </w:p>
    <w:p w14:paraId="46636404" w14:textId="77777777" w:rsidR="00A0461B" w:rsidRPr="002E1CA4" w:rsidRDefault="00A0461B" w:rsidP="00A3288C">
      <w:pPr>
        <w:jc w:val="center"/>
        <w:rPr>
          <w:sz w:val="26"/>
          <w:szCs w:val="26"/>
        </w:rPr>
      </w:pPr>
    </w:p>
    <w:p w14:paraId="21C48E6A" w14:textId="77777777" w:rsidR="00881D21" w:rsidRPr="002E1CA4" w:rsidRDefault="00881D21">
      <w:pPr>
        <w:jc w:val="center"/>
        <w:rPr>
          <w:b/>
          <w:sz w:val="26"/>
          <w:szCs w:val="26"/>
        </w:rPr>
      </w:pPr>
    </w:p>
    <w:p w14:paraId="4A3FF624" w14:textId="2067818D" w:rsidR="00881D21" w:rsidRPr="002E1CA4" w:rsidRDefault="00102041" w:rsidP="00A0461B">
      <w:pPr>
        <w:jc w:val="center"/>
        <w:rPr>
          <w:sz w:val="26"/>
          <w:szCs w:val="26"/>
        </w:rPr>
      </w:pPr>
      <w:r w:rsidRPr="002E1CA4">
        <w:rPr>
          <w:sz w:val="26"/>
          <w:szCs w:val="26"/>
        </w:rPr>
        <w:t>Por</w:t>
      </w:r>
    </w:p>
    <w:p w14:paraId="12D2AD41" w14:textId="77777777" w:rsidR="00881D21" w:rsidRPr="002E1CA4" w:rsidRDefault="00881D21">
      <w:pPr>
        <w:jc w:val="center"/>
        <w:rPr>
          <w:sz w:val="26"/>
          <w:szCs w:val="26"/>
        </w:rPr>
      </w:pPr>
    </w:p>
    <w:p w14:paraId="374D58DA" w14:textId="77777777" w:rsidR="00881D21" w:rsidRPr="002E1CA4" w:rsidRDefault="00881D21">
      <w:pPr>
        <w:jc w:val="center"/>
        <w:rPr>
          <w:sz w:val="26"/>
          <w:szCs w:val="26"/>
        </w:rPr>
      </w:pPr>
    </w:p>
    <w:p w14:paraId="2D566C8D" w14:textId="77777777" w:rsidR="00881D21" w:rsidRPr="002E1CA4" w:rsidRDefault="00102041">
      <w:pPr>
        <w:jc w:val="center"/>
        <w:rPr>
          <w:sz w:val="26"/>
          <w:szCs w:val="26"/>
        </w:rPr>
      </w:pPr>
      <w:r w:rsidRPr="002E1CA4">
        <w:rPr>
          <w:sz w:val="26"/>
          <w:szCs w:val="26"/>
        </w:rPr>
        <w:t>MARCO ANTONIO OBREGÓN FLORES</w:t>
      </w:r>
    </w:p>
    <w:p w14:paraId="678F3064" w14:textId="77777777" w:rsidR="00881D21" w:rsidRPr="002E1CA4" w:rsidRDefault="00881D21">
      <w:pPr>
        <w:jc w:val="center"/>
        <w:rPr>
          <w:sz w:val="26"/>
          <w:szCs w:val="26"/>
        </w:rPr>
      </w:pPr>
    </w:p>
    <w:p w14:paraId="7B405DFE" w14:textId="77777777" w:rsidR="00881D21" w:rsidRPr="002E1CA4" w:rsidRDefault="00881D21">
      <w:pPr>
        <w:jc w:val="center"/>
        <w:rPr>
          <w:sz w:val="26"/>
          <w:szCs w:val="26"/>
        </w:rPr>
      </w:pPr>
    </w:p>
    <w:p w14:paraId="6F62C82A" w14:textId="77777777" w:rsidR="00881D21" w:rsidRPr="002E1CA4" w:rsidRDefault="00102041" w:rsidP="1208528E">
      <w:pPr>
        <w:jc w:val="center"/>
        <w:rPr>
          <w:sz w:val="26"/>
          <w:szCs w:val="26"/>
        </w:rPr>
      </w:pPr>
      <w:r w:rsidRPr="002E1CA4">
        <w:rPr>
          <w:sz w:val="26"/>
          <w:szCs w:val="26"/>
        </w:rPr>
        <w:t>Como requisito parcial para obtener el Grado de</w:t>
      </w:r>
    </w:p>
    <w:p w14:paraId="3BA5ECDE" w14:textId="77777777" w:rsidR="00881D21" w:rsidRPr="002E1CA4" w:rsidRDefault="00881D21">
      <w:pPr>
        <w:jc w:val="center"/>
        <w:rPr>
          <w:sz w:val="26"/>
          <w:szCs w:val="26"/>
        </w:rPr>
      </w:pPr>
    </w:p>
    <w:p w14:paraId="677CD2FE" w14:textId="77777777" w:rsidR="00881D21" w:rsidRPr="002E1CA4" w:rsidRDefault="00102041">
      <w:pPr>
        <w:jc w:val="center"/>
        <w:rPr>
          <w:sz w:val="26"/>
          <w:szCs w:val="26"/>
        </w:rPr>
      </w:pPr>
      <w:r w:rsidRPr="002E1CA4">
        <w:rPr>
          <w:sz w:val="26"/>
          <w:szCs w:val="26"/>
        </w:rPr>
        <w:t>MAESTRÍA EN CIENCIA DE DATOS</w:t>
      </w:r>
    </w:p>
    <w:p w14:paraId="3AB74C04" w14:textId="77777777" w:rsidR="00881D21" w:rsidRPr="002E1CA4" w:rsidRDefault="00881D21">
      <w:pPr>
        <w:jc w:val="center"/>
        <w:rPr>
          <w:sz w:val="26"/>
          <w:szCs w:val="26"/>
        </w:rPr>
      </w:pPr>
    </w:p>
    <w:p w14:paraId="24EC04F4" w14:textId="77777777" w:rsidR="00881D21" w:rsidRPr="002E1CA4" w:rsidRDefault="00881D21">
      <w:pPr>
        <w:jc w:val="center"/>
        <w:rPr>
          <w:sz w:val="26"/>
          <w:szCs w:val="26"/>
        </w:rPr>
      </w:pPr>
    </w:p>
    <w:p w14:paraId="0D86D3C5" w14:textId="77777777" w:rsidR="00881D21" w:rsidRPr="002E1CA4" w:rsidRDefault="00881D21">
      <w:pPr>
        <w:jc w:val="center"/>
        <w:rPr>
          <w:sz w:val="26"/>
          <w:szCs w:val="26"/>
        </w:rPr>
      </w:pPr>
    </w:p>
    <w:p w14:paraId="0876D8DA" w14:textId="77777777" w:rsidR="00881D21" w:rsidRPr="002E1CA4" w:rsidRDefault="00102041">
      <w:pPr>
        <w:jc w:val="center"/>
        <w:rPr>
          <w:sz w:val="26"/>
          <w:szCs w:val="26"/>
        </w:rPr>
      </w:pPr>
      <w:r w:rsidRPr="002E1CA4">
        <w:rPr>
          <w:sz w:val="26"/>
          <w:szCs w:val="26"/>
        </w:rPr>
        <w:t>(Mes), 2024</w:t>
      </w:r>
    </w:p>
    <w:p w14:paraId="5269E415" w14:textId="77777777" w:rsidR="00881D21" w:rsidRPr="002E1CA4" w:rsidRDefault="00881D21"/>
    <w:p w14:paraId="435FDF02" w14:textId="77777777" w:rsidR="00881D21" w:rsidRPr="002E1CA4" w:rsidRDefault="00881D21"/>
    <w:p w14:paraId="4FFB2059" w14:textId="77777777" w:rsidR="00881D21" w:rsidRPr="002E1CA4" w:rsidRDefault="00881D21"/>
    <w:p w14:paraId="7014E141" w14:textId="77777777" w:rsidR="00881D21" w:rsidRPr="002E1CA4" w:rsidRDefault="00881D21">
      <w:pPr>
        <w:spacing w:line="480" w:lineRule="auto"/>
      </w:pPr>
    </w:p>
    <w:p w14:paraId="6C125C2B" w14:textId="77777777" w:rsidR="00881D21" w:rsidRPr="002E1CA4" w:rsidRDefault="00102041" w:rsidP="4E70584D">
      <w:pPr>
        <w:jc w:val="center"/>
      </w:pPr>
      <w:r w:rsidRPr="002E1CA4">
        <w:t>Universidad Autónoma de Nuevo León</w:t>
      </w:r>
    </w:p>
    <w:p w14:paraId="1766CA7F" w14:textId="77777777" w:rsidR="00881D21" w:rsidRPr="002E1CA4" w:rsidRDefault="00881D21">
      <w:pPr>
        <w:jc w:val="center"/>
      </w:pPr>
    </w:p>
    <w:p w14:paraId="5D731AC4" w14:textId="77777777" w:rsidR="00881D21" w:rsidRPr="002E1CA4" w:rsidRDefault="00102041" w:rsidP="4E70584D">
      <w:pPr>
        <w:jc w:val="center"/>
      </w:pPr>
      <w:r w:rsidRPr="002E1CA4">
        <w:t>Facultad de Ciencias Físico Matemáticas</w:t>
      </w:r>
    </w:p>
    <w:p w14:paraId="23D6A6A0" w14:textId="77777777" w:rsidR="00881D21" w:rsidRPr="002E1CA4" w:rsidRDefault="00881D21">
      <w:pPr>
        <w:jc w:val="center"/>
      </w:pPr>
    </w:p>
    <w:p w14:paraId="7CC2FE4B" w14:textId="77777777" w:rsidR="00881D21" w:rsidRPr="002E1CA4" w:rsidRDefault="00881D21">
      <w:pPr>
        <w:jc w:val="center"/>
      </w:pPr>
    </w:p>
    <w:p w14:paraId="5FA28FF6" w14:textId="77777777" w:rsidR="00881D21" w:rsidRPr="002E1CA4" w:rsidRDefault="00881D21">
      <w:pPr>
        <w:jc w:val="center"/>
      </w:pPr>
    </w:p>
    <w:p w14:paraId="7A79AED9" w14:textId="77777777" w:rsidR="00881D21" w:rsidRPr="002E1CA4" w:rsidRDefault="00102041" w:rsidP="1208528E">
      <w:pPr>
        <w:jc w:val="both"/>
      </w:pPr>
      <w:r w:rsidRPr="002E1CA4">
        <w:t>Los miembros del Comité de Tesis recomendamos que la Tesina “(título del trabajo de investigación)”, realizada por (el, la) alumno(a) (nombre completo del alumno, tipo oración, sin abreviaciones), con número de matrícula (matrícula), sea aceptada para su defensa como opción al grado de Maestría en Ciencia de Datos.</w:t>
      </w:r>
    </w:p>
    <w:p w14:paraId="2935BCE9" w14:textId="77777777" w:rsidR="00881D21" w:rsidRPr="002E1CA4" w:rsidRDefault="00881D21"/>
    <w:p w14:paraId="0D9CF6B6" w14:textId="77777777" w:rsidR="00881D21" w:rsidRPr="002E1CA4" w:rsidRDefault="00881D21"/>
    <w:p w14:paraId="59B16335" w14:textId="77777777" w:rsidR="00881D21" w:rsidRPr="002E1CA4" w:rsidRDefault="00102041" w:rsidP="1208528E">
      <w:pPr>
        <w:jc w:val="center"/>
      </w:pPr>
      <w:r w:rsidRPr="002E1CA4">
        <w:t>El Comité de Tesis</w:t>
      </w:r>
    </w:p>
    <w:p w14:paraId="0537BFD9" w14:textId="77777777" w:rsidR="00881D21" w:rsidRPr="002E1CA4" w:rsidRDefault="00881D21"/>
    <w:p w14:paraId="46C7A845" w14:textId="77777777" w:rsidR="00881D21" w:rsidRPr="002E1CA4" w:rsidRDefault="00881D21">
      <w:pPr>
        <w:jc w:val="center"/>
      </w:pPr>
    </w:p>
    <w:p w14:paraId="748F40FF" w14:textId="77777777" w:rsidR="00881D21" w:rsidRPr="002E1CA4" w:rsidRDefault="00881D21">
      <w:pPr>
        <w:jc w:val="center"/>
      </w:pPr>
    </w:p>
    <w:p w14:paraId="36BD5FFD" w14:textId="77777777" w:rsidR="00881D21" w:rsidRPr="002E1CA4" w:rsidRDefault="00881D21">
      <w:pPr>
        <w:jc w:val="center"/>
      </w:pPr>
    </w:p>
    <w:p w14:paraId="1A182F39" w14:textId="77777777" w:rsidR="00881D21" w:rsidRPr="002E1CA4" w:rsidRDefault="00102041">
      <w:pPr>
        <w:jc w:val="center"/>
      </w:pPr>
      <w:r w:rsidRPr="002E1CA4">
        <w:t>______________________________</w:t>
      </w:r>
    </w:p>
    <w:p w14:paraId="2CD86E08" w14:textId="77777777" w:rsidR="00881D21" w:rsidRPr="002E1CA4" w:rsidRDefault="00102041" w:rsidP="1208528E">
      <w:pPr>
        <w:jc w:val="center"/>
      </w:pPr>
      <w:r w:rsidRPr="002E1CA4">
        <w:t>(Título y nombre)</w:t>
      </w:r>
    </w:p>
    <w:p w14:paraId="0601F7F6" w14:textId="77777777" w:rsidR="00881D21" w:rsidRPr="002E1CA4" w:rsidRDefault="00102041">
      <w:pPr>
        <w:jc w:val="center"/>
      </w:pPr>
      <w:r w:rsidRPr="002E1CA4">
        <w:t>Director</w:t>
      </w:r>
    </w:p>
    <w:p w14:paraId="14923DAF" w14:textId="77777777" w:rsidR="00881D21" w:rsidRPr="002E1CA4" w:rsidRDefault="00881D21">
      <w:pPr>
        <w:jc w:val="center"/>
      </w:pPr>
    </w:p>
    <w:p w14:paraId="49552795" w14:textId="77777777" w:rsidR="00881D21" w:rsidRPr="002E1CA4" w:rsidRDefault="00881D21">
      <w:pPr>
        <w:jc w:val="center"/>
      </w:pPr>
    </w:p>
    <w:p w14:paraId="62DC6421" w14:textId="77777777" w:rsidR="00881D21" w:rsidRPr="002E1CA4" w:rsidRDefault="00881D21">
      <w:pPr>
        <w:jc w:val="center"/>
      </w:pPr>
    </w:p>
    <w:p w14:paraId="3BFA407F" w14:textId="77777777" w:rsidR="00881D21" w:rsidRPr="002E1CA4" w:rsidRDefault="00881D21">
      <w:pPr>
        <w:jc w:val="center"/>
      </w:pPr>
    </w:p>
    <w:p w14:paraId="0A89214E" w14:textId="77777777" w:rsidR="00881D21" w:rsidRPr="002E1CA4" w:rsidRDefault="00102041">
      <w:pPr>
        <w:jc w:val="center"/>
      </w:pPr>
      <w:r w:rsidRPr="002E1CA4">
        <w:t>______________________________        ______________________________</w:t>
      </w:r>
    </w:p>
    <w:p w14:paraId="49CF66A8" w14:textId="77777777" w:rsidR="00881D21" w:rsidRPr="002E1CA4" w:rsidRDefault="00102041" w:rsidP="4E70584D">
      <w:pPr>
        <w:jc w:val="center"/>
      </w:pPr>
      <w:r w:rsidRPr="002E1CA4">
        <w:t>(Título y nombre)                                         (Título y nombre)</w:t>
      </w:r>
    </w:p>
    <w:p w14:paraId="34A21326" w14:textId="77777777" w:rsidR="00881D21" w:rsidRPr="002E1CA4" w:rsidRDefault="00102041">
      <w:pPr>
        <w:jc w:val="center"/>
      </w:pPr>
      <w:r w:rsidRPr="002E1CA4">
        <w:t xml:space="preserve">Revisor                                                        </w:t>
      </w:r>
      <w:proofErr w:type="spellStart"/>
      <w:r w:rsidRPr="002E1CA4">
        <w:t>Revisor</w:t>
      </w:r>
      <w:proofErr w:type="spellEnd"/>
    </w:p>
    <w:p w14:paraId="48C563A8" w14:textId="77777777" w:rsidR="00881D21" w:rsidRPr="002E1CA4" w:rsidRDefault="00881D21">
      <w:pPr>
        <w:jc w:val="center"/>
      </w:pPr>
    </w:p>
    <w:p w14:paraId="578D0F7A" w14:textId="77777777" w:rsidR="00881D21" w:rsidRPr="002E1CA4" w:rsidRDefault="00881D21">
      <w:pPr>
        <w:jc w:val="center"/>
      </w:pPr>
    </w:p>
    <w:p w14:paraId="5997A74A" w14:textId="77777777" w:rsidR="00881D21" w:rsidRPr="002E1CA4" w:rsidRDefault="00102041">
      <w:pPr>
        <w:jc w:val="center"/>
      </w:pPr>
      <w:proofErr w:type="spellStart"/>
      <w:r w:rsidRPr="002E1CA4">
        <w:t>Vo.Bo</w:t>
      </w:r>
      <w:proofErr w:type="spellEnd"/>
      <w:r w:rsidRPr="002E1CA4">
        <w:t>.</w:t>
      </w:r>
    </w:p>
    <w:p w14:paraId="29F9B845" w14:textId="77777777" w:rsidR="00881D21" w:rsidRPr="002E1CA4" w:rsidRDefault="00881D21">
      <w:pPr>
        <w:jc w:val="center"/>
      </w:pPr>
    </w:p>
    <w:p w14:paraId="6C1F089A" w14:textId="77777777" w:rsidR="00881D21" w:rsidRPr="002E1CA4" w:rsidRDefault="00881D21">
      <w:pPr>
        <w:jc w:val="center"/>
      </w:pPr>
    </w:p>
    <w:p w14:paraId="7D99FE78" w14:textId="77777777" w:rsidR="00881D21" w:rsidRPr="002E1CA4" w:rsidRDefault="00881D21">
      <w:pPr>
        <w:jc w:val="center"/>
      </w:pPr>
    </w:p>
    <w:p w14:paraId="17C42B78" w14:textId="77777777" w:rsidR="00881D21" w:rsidRPr="002E1CA4" w:rsidRDefault="00881D21">
      <w:pPr>
        <w:jc w:val="center"/>
      </w:pPr>
    </w:p>
    <w:p w14:paraId="5BC46765" w14:textId="77777777" w:rsidR="00881D21" w:rsidRPr="002E1CA4" w:rsidRDefault="00102041">
      <w:pPr>
        <w:jc w:val="center"/>
      </w:pPr>
      <w:r w:rsidRPr="002E1CA4">
        <w:t>______________________________</w:t>
      </w:r>
    </w:p>
    <w:p w14:paraId="18BF6E80" w14:textId="77777777" w:rsidR="00881D21" w:rsidRPr="002E1CA4" w:rsidRDefault="00102041">
      <w:pPr>
        <w:jc w:val="center"/>
      </w:pPr>
      <w:r w:rsidRPr="002E1CA4">
        <w:t xml:space="preserve">Dra. Azucena </w:t>
      </w:r>
      <w:proofErr w:type="spellStart"/>
      <w:r w:rsidRPr="002E1CA4">
        <w:t>Yoloxóchitl</w:t>
      </w:r>
      <w:proofErr w:type="spellEnd"/>
      <w:r w:rsidRPr="002E1CA4">
        <w:t xml:space="preserve"> Ríos Mercado</w:t>
      </w:r>
    </w:p>
    <w:p w14:paraId="02FEF20E" w14:textId="77777777" w:rsidR="00881D21" w:rsidRPr="002E1CA4" w:rsidRDefault="00102041">
      <w:pPr>
        <w:jc w:val="center"/>
      </w:pPr>
      <w:r w:rsidRPr="002E1CA4">
        <w:t>Coordinadora de la Maestría en Ciencia de Datos</w:t>
      </w:r>
    </w:p>
    <w:p w14:paraId="0998B67E" w14:textId="77777777" w:rsidR="00881D21" w:rsidRPr="002E1CA4" w:rsidRDefault="00881D21">
      <w:pPr>
        <w:jc w:val="center"/>
      </w:pPr>
    </w:p>
    <w:p w14:paraId="429DA41E" w14:textId="77777777" w:rsidR="00881D21" w:rsidRPr="002E1CA4" w:rsidRDefault="00881D21"/>
    <w:p w14:paraId="34ADE10A" w14:textId="77777777" w:rsidR="00881D21" w:rsidRPr="002E1CA4" w:rsidRDefault="00102041" w:rsidP="1208528E">
      <w:pPr>
        <w:jc w:val="center"/>
      </w:pPr>
      <w:r w:rsidRPr="002E1CA4">
        <w:t>San Nicolás de los Garza, N.L.</w:t>
      </w:r>
    </w:p>
    <w:p w14:paraId="0D9F1880" w14:textId="77777777" w:rsidR="00881D21" w:rsidRPr="002E1CA4" w:rsidRDefault="00881D21">
      <w:pPr>
        <w:spacing w:line="480" w:lineRule="auto"/>
      </w:pPr>
    </w:p>
    <w:p w14:paraId="2B7B8E23" w14:textId="77777777" w:rsidR="00881D21" w:rsidRPr="002E1CA4" w:rsidRDefault="00881D21">
      <w:pPr>
        <w:spacing w:line="480" w:lineRule="auto"/>
      </w:pPr>
    </w:p>
    <w:p w14:paraId="3E08B1ED" w14:textId="77777777" w:rsidR="00881D21" w:rsidRPr="002E1CA4" w:rsidRDefault="00881D21">
      <w:pPr>
        <w:spacing w:line="480" w:lineRule="auto"/>
      </w:pPr>
    </w:p>
    <w:p w14:paraId="6E9EA970" w14:textId="77777777" w:rsidR="00881D21" w:rsidRPr="002E1CA4" w:rsidRDefault="00102041">
      <w:pPr>
        <w:pBdr>
          <w:bottom w:val="single" w:sz="12" w:space="1" w:color="000000"/>
        </w:pBdr>
        <w:jc w:val="center"/>
        <w:rPr>
          <w:b/>
        </w:rPr>
      </w:pPr>
      <w:r w:rsidRPr="002E1CA4">
        <w:rPr>
          <w:b/>
        </w:rPr>
        <w:t>DEDICATORIA</w:t>
      </w:r>
    </w:p>
    <w:p w14:paraId="57D70D72" w14:textId="77777777" w:rsidR="00881D21" w:rsidRPr="002E1CA4" w:rsidRDefault="00881D21">
      <w:pPr>
        <w:jc w:val="center"/>
        <w:rPr>
          <w:b/>
        </w:rPr>
      </w:pPr>
    </w:p>
    <w:p w14:paraId="702BAD7F" w14:textId="77777777" w:rsidR="00881D21" w:rsidRPr="002E1CA4" w:rsidRDefault="00881D21"/>
    <w:p w14:paraId="56ABCE3B" w14:textId="77777777" w:rsidR="00881D21" w:rsidRPr="002E1CA4" w:rsidRDefault="00881D21"/>
    <w:p w14:paraId="18139942" w14:textId="77777777" w:rsidR="00881D21" w:rsidRPr="002E1CA4" w:rsidRDefault="00881D21"/>
    <w:p w14:paraId="42EB3B10" w14:textId="77777777" w:rsidR="00881D21" w:rsidRPr="002E1CA4" w:rsidRDefault="00102041" w:rsidP="1208528E">
      <w:pPr>
        <w:jc w:val="right"/>
        <w:rPr>
          <w:i/>
          <w:iCs/>
        </w:rPr>
      </w:pPr>
      <w:r w:rsidRPr="002E1CA4">
        <w:rPr>
          <w:i/>
          <w:iCs/>
        </w:rPr>
        <w:t xml:space="preserve">(Dedicatoria opcional justificada a la derecha en itálicas) </w:t>
      </w:r>
    </w:p>
    <w:p w14:paraId="5545B698" w14:textId="77777777" w:rsidR="00881D21" w:rsidRPr="002E1CA4" w:rsidRDefault="00102041">
      <w:pPr>
        <w:rPr>
          <w:i/>
        </w:rPr>
      </w:pPr>
      <w:r w:rsidRPr="002E1CA4">
        <w:br w:type="page"/>
      </w:r>
    </w:p>
    <w:p w14:paraId="6E7AC0A1" w14:textId="77777777" w:rsidR="00881D21" w:rsidRPr="002E1CA4" w:rsidRDefault="00881D21">
      <w:pPr>
        <w:spacing w:line="480" w:lineRule="auto"/>
      </w:pPr>
    </w:p>
    <w:p w14:paraId="763CD167" w14:textId="77777777" w:rsidR="00881D21" w:rsidRPr="002E1CA4" w:rsidRDefault="00881D21">
      <w:pPr>
        <w:spacing w:line="480" w:lineRule="auto"/>
      </w:pPr>
    </w:p>
    <w:p w14:paraId="163A526F" w14:textId="77777777" w:rsidR="00881D21" w:rsidRPr="002E1CA4" w:rsidRDefault="00881D21">
      <w:pPr>
        <w:spacing w:line="480" w:lineRule="auto"/>
      </w:pPr>
    </w:p>
    <w:p w14:paraId="56792319" w14:textId="77777777" w:rsidR="00881D21" w:rsidRPr="002E1CA4" w:rsidRDefault="00102041">
      <w:pPr>
        <w:pBdr>
          <w:bottom w:val="single" w:sz="12" w:space="1" w:color="000000"/>
        </w:pBdr>
        <w:jc w:val="center"/>
        <w:rPr>
          <w:b/>
        </w:rPr>
      </w:pPr>
      <w:r w:rsidRPr="002E1CA4">
        <w:rPr>
          <w:b/>
        </w:rPr>
        <w:t>ÍNDICE DE CONTENIDO</w:t>
      </w:r>
    </w:p>
    <w:p w14:paraId="00444775" w14:textId="77777777" w:rsidR="00881D21" w:rsidRPr="002E1CA4" w:rsidRDefault="00881D21">
      <w:pPr>
        <w:jc w:val="center"/>
        <w:rPr>
          <w:b/>
        </w:rPr>
      </w:pPr>
    </w:p>
    <w:p w14:paraId="56761105" w14:textId="77777777" w:rsidR="00881D21" w:rsidRPr="002E1CA4" w:rsidRDefault="00881D21"/>
    <w:p w14:paraId="0A77CB88" w14:textId="77777777" w:rsidR="00881D21" w:rsidRPr="002E1CA4" w:rsidRDefault="00102041" w:rsidP="1208528E">
      <w:r w:rsidRPr="002E1CA4">
        <w:t>Capítulo                                                                                                     Página</w:t>
      </w:r>
    </w:p>
    <w:p w14:paraId="30C7D2AF" w14:textId="77777777" w:rsidR="00881D21" w:rsidRPr="002E1CA4" w:rsidRDefault="00102041">
      <w:r w:rsidRPr="002E1CA4">
        <w:tab/>
      </w:r>
    </w:p>
    <w:p w14:paraId="7CEA58D7" w14:textId="77777777" w:rsidR="00881D21" w:rsidRPr="002E1CA4" w:rsidRDefault="00102041">
      <w:r w:rsidRPr="002E1CA4">
        <w:tab/>
      </w:r>
      <w:r w:rsidRPr="002E1CA4">
        <w:tab/>
      </w:r>
      <w:r w:rsidRPr="002E1CA4">
        <w:tab/>
      </w:r>
      <w:r w:rsidRPr="002E1CA4">
        <w:tab/>
      </w:r>
      <w:r w:rsidRPr="002E1CA4">
        <w:tab/>
      </w:r>
      <w:r w:rsidRPr="002E1CA4">
        <w:tab/>
      </w:r>
      <w:r w:rsidRPr="002E1CA4">
        <w:tab/>
      </w:r>
      <w:r w:rsidRPr="002E1CA4">
        <w:tab/>
      </w:r>
      <w:r w:rsidRPr="002E1CA4">
        <w:tab/>
      </w:r>
      <w:r w:rsidRPr="002E1CA4">
        <w:tab/>
        <w:t xml:space="preserve">   </w:t>
      </w:r>
    </w:p>
    <w:p w14:paraId="455F2512" w14:textId="77777777" w:rsidR="00881D21" w:rsidRPr="002E1CA4" w:rsidRDefault="00102041">
      <w:r w:rsidRPr="002E1CA4">
        <w:t xml:space="preserve">      1.    INTRODUCCIÓN…………………………………………………….............1</w:t>
      </w:r>
    </w:p>
    <w:p w14:paraId="6E1DEBD8" w14:textId="77777777" w:rsidR="00881D21" w:rsidRPr="002E1CA4" w:rsidRDefault="00881D21"/>
    <w:p w14:paraId="0CEDA22D" w14:textId="77777777" w:rsidR="00881D21" w:rsidRPr="002E1CA4" w:rsidRDefault="00102041" w:rsidP="1208528E">
      <w:r w:rsidRPr="002E1CA4">
        <w:t xml:space="preserve">             1.1   </w:t>
      </w:r>
      <w:r w:rsidRPr="002E1CA4">
        <w:tab/>
        <w:t>(Subtítulo)…………………………………………………………</w:t>
      </w:r>
      <w:proofErr w:type="gramStart"/>
      <w:r w:rsidRPr="002E1CA4">
        <w:t>…….</w:t>
      </w:r>
      <w:proofErr w:type="gramEnd"/>
      <w:r w:rsidRPr="002E1CA4">
        <w:t>.1</w:t>
      </w:r>
    </w:p>
    <w:p w14:paraId="1373509F" w14:textId="77777777" w:rsidR="00881D21" w:rsidRPr="002E1CA4" w:rsidRDefault="00102041" w:rsidP="1208528E">
      <w:r w:rsidRPr="002E1CA4">
        <w:tab/>
        <w:t xml:space="preserve">           1.1.1 (Subtítulo)………………………………………………………...1</w:t>
      </w:r>
    </w:p>
    <w:p w14:paraId="49E8A70C" w14:textId="77777777" w:rsidR="00881D21" w:rsidRPr="002E1CA4" w:rsidRDefault="00102041" w:rsidP="1208528E">
      <w:r w:rsidRPr="002E1CA4">
        <w:t xml:space="preserve">             1.2   (Subtítulo)…………………………………………………………</w:t>
      </w:r>
      <w:proofErr w:type="gramStart"/>
      <w:r w:rsidRPr="002E1CA4">
        <w:t>…….</w:t>
      </w:r>
      <w:proofErr w:type="gramEnd"/>
      <w:r w:rsidRPr="002E1CA4">
        <w:t>.1</w:t>
      </w:r>
    </w:p>
    <w:p w14:paraId="7D5D558A" w14:textId="77777777" w:rsidR="00881D21" w:rsidRPr="002E1CA4" w:rsidRDefault="00881D21"/>
    <w:p w14:paraId="00A79BB4" w14:textId="77777777" w:rsidR="00881D21" w:rsidRPr="002E1CA4" w:rsidRDefault="00102041">
      <w:r w:rsidRPr="002E1CA4">
        <w:t xml:space="preserve">       2.    DELIMITACIÓN Y PLANTEAMIENTO DEL PROBLEMA DE                        </w:t>
      </w:r>
    </w:p>
    <w:p w14:paraId="390CF293" w14:textId="77777777" w:rsidR="00881D21" w:rsidRPr="002E1CA4" w:rsidRDefault="00102041">
      <w:r w:rsidRPr="002E1CA4">
        <w:t xml:space="preserve">              INVESTIGACIÓN....................................................................................2</w:t>
      </w:r>
    </w:p>
    <w:p w14:paraId="40C2D55C" w14:textId="77777777" w:rsidR="00881D21" w:rsidRPr="002E1CA4" w:rsidRDefault="00881D21"/>
    <w:p w14:paraId="0D7FF534" w14:textId="77777777" w:rsidR="00881D21" w:rsidRPr="002E1CA4" w:rsidRDefault="00102041" w:rsidP="1208528E">
      <w:r w:rsidRPr="002E1CA4">
        <w:t xml:space="preserve">              2.1   (Subtítulo) ......................................................................................2</w:t>
      </w:r>
    </w:p>
    <w:p w14:paraId="00EE8A03" w14:textId="77777777" w:rsidR="00881D21" w:rsidRPr="002E1CA4" w:rsidRDefault="00881D21"/>
    <w:p w14:paraId="5A313874" w14:textId="77777777" w:rsidR="00881D21" w:rsidRPr="002E1CA4" w:rsidRDefault="00102041">
      <w:r w:rsidRPr="002E1CA4">
        <w:t xml:space="preserve">       3.    JUSTIFICACIÓN…………………………………………………….............3</w:t>
      </w:r>
    </w:p>
    <w:p w14:paraId="2D4FB028" w14:textId="77777777" w:rsidR="00881D21" w:rsidRPr="002E1CA4" w:rsidRDefault="00881D21"/>
    <w:p w14:paraId="6525B0B1" w14:textId="77777777" w:rsidR="00881D21" w:rsidRPr="002E1CA4" w:rsidRDefault="00102041" w:rsidP="1208528E">
      <w:r w:rsidRPr="002E1CA4">
        <w:t xml:space="preserve">       4.    FORMULACIÓN DE OBJETIVOS……………………</w:t>
      </w:r>
      <w:proofErr w:type="gramStart"/>
      <w:r w:rsidRPr="002E1CA4">
        <w:t>…….</w:t>
      </w:r>
      <w:proofErr w:type="gramEnd"/>
      <w:r w:rsidRPr="002E1CA4">
        <w:t>.……………..4</w:t>
      </w:r>
    </w:p>
    <w:p w14:paraId="71F85F0C" w14:textId="77777777" w:rsidR="00881D21" w:rsidRPr="002E1CA4" w:rsidRDefault="00881D21"/>
    <w:p w14:paraId="60634D03" w14:textId="77777777" w:rsidR="00881D21" w:rsidRPr="002E1CA4" w:rsidRDefault="00102041">
      <w:r w:rsidRPr="002E1CA4">
        <w:t xml:space="preserve">       5.    MARCO TEÓRICO…………………………………………………….........5</w:t>
      </w:r>
    </w:p>
    <w:p w14:paraId="5C8E5D74" w14:textId="77777777" w:rsidR="00881D21" w:rsidRPr="002E1CA4" w:rsidRDefault="00881D21"/>
    <w:p w14:paraId="5CA42486" w14:textId="77777777" w:rsidR="00881D21" w:rsidRPr="002E1CA4" w:rsidRDefault="00102041">
      <w:r w:rsidRPr="002E1CA4">
        <w:t xml:space="preserve">       6.    METODOLOGÍA……………………………………………</w:t>
      </w:r>
      <w:proofErr w:type="gramStart"/>
      <w:r w:rsidRPr="002E1CA4">
        <w:t>…....</w:t>
      </w:r>
      <w:proofErr w:type="gramEnd"/>
      <w:r w:rsidRPr="002E1CA4">
        <w:t>…….........6</w:t>
      </w:r>
    </w:p>
    <w:p w14:paraId="201A0C69" w14:textId="77777777" w:rsidR="00881D21" w:rsidRPr="002E1CA4" w:rsidRDefault="00881D21"/>
    <w:p w14:paraId="225AE8EB" w14:textId="77777777" w:rsidR="00881D21" w:rsidRPr="002E1CA4" w:rsidRDefault="00102041">
      <w:r w:rsidRPr="002E1CA4">
        <w:t xml:space="preserve">       7.    RESULTADOS Y CONCLUSIONES…………………………………</w:t>
      </w:r>
      <w:proofErr w:type="gramStart"/>
      <w:r w:rsidRPr="002E1CA4">
        <w:t>…....</w:t>
      </w:r>
      <w:proofErr w:type="gramEnd"/>
      <w:r w:rsidRPr="002E1CA4">
        <w:t>7</w:t>
      </w:r>
    </w:p>
    <w:p w14:paraId="14A651DF" w14:textId="77777777" w:rsidR="00881D21" w:rsidRPr="002E1CA4" w:rsidRDefault="00881D21"/>
    <w:p w14:paraId="4B9F8AF6" w14:textId="77777777" w:rsidR="00881D21" w:rsidRPr="002E1CA4" w:rsidRDefault="00102041" w:rsidP="1208528E">
      <w:r w:rsidRPr="002E1CA4">
        <w:t xml:space="preserve">       Anexos y </w:t>
      </w:r>
      <w:proofErr w:type="gramStart"/>
      <w:r w:rsidRPr="002E1CA4">
        <w:t>apéndices….</w:t>
      </w:r>
      <w:proofErr w:type="gramEnd"/>
      <w:r w:rsidRPr="002E1CA4">
        <w:t>…………………………………...................…….........8</w:t>
      </w:r>
    </w:p>
    <w:p w14:paraId="42A2ECFD" w14:textId="77777777" w:rsidR="00881D21" w:rsidRPr="002E1CA4" w:rsidRDefault="00881D21"/>
    <w:p w14:paraId="7F6A75C8" w14:textId="77777777" w:rsidR="00881D21" w:rsidRPr="002E1CA4" w:rsidRDefault="00102041" w:rsidP="1208528E">
      <w:r w:rsidRPr="002E1CA4">
        <w:t xml:space="preserve">       Referencias.............…………………………………………</w:t>
      </w:r>
      <w:proofErr w:type="gramStart"/>
      <w:r w:rsidRPr="002E1CA4">
        <w:t>…....</w:t>
      </w:r>
      <w:proofErr w:type="gramEnd"/>
      <w:r w:rsidRPr="002E1CA4">
        <w:t>.……….........9</w:t>
      </w:r>
    </w:p>
    <w:p w14:paraId="32356BA0" w14:textId="77777777" w:rsidR="00881D21" w:rsidRPr="002E1CA4" w:rsidRDefault="00102041">
      <w:r w:rsidRPr="002E1CA4">
        <w:br w:type="page"/>
      </w:r>
    </w:p>
    <w:p w14:paraId="466E973E" w14:textId="77777777" w:rsidR="00881D21" w:rsidRPr="002E1CA4" w:rsidRDefault="00881D21">
      <w:pPr>
        <w:spacing w:line="480" w:lineRule="auto"/>
      </w:pPr>
    </w:p>
    <w:p w14:paraId="1BACEF41" w14:textId="77777777" w:rsidR="00881D21" w:rsidRPr="002E1CA4" w:rsidRDefault="00881D21">
      <w:pPr>
        <w:spacing w:line="480" w:lineRule="auto"/>
      </w:pPr>
    </w:p>
    <w:p w14:paraId="54636043" w14:textId="77777777" w:rsidR="00881D21" w:rsidRPr="002E1CA4" w:rsidRDefault="00881D21">
      <w:pPr>
        <w:spacing w:line="480" w:lineRule="auto"/>
      </w:pPr>
    </w:p>
    <w:p w14:paraId="0370C768" w14:textId="77777777" w:rsidR="00881D21" w:rsidRPr="002E1CA4" w:rsidRDefault="00102041">
      <w:pPr>
        <w:pBdr>
          <w:bottom w:val="single" w:sz="12" w:space="1" w:color="000000"/>
        </w:pBdr>
        <w:jc w:val="center"/>
        <w:rPr>
          <w:b/>
        </w:rPr>
      </w:pPr>
      <w:r w:rsidRPr="002E1CA4">
        <w:rPr>
          <w:b/>
        </w:rPr>
        <w:t>ÍNDICE DE TABLAS</w:t>
      </w:r>
    </w:p>
    <w:p w14:paraId="189E84D3" w14:textId="77777777" w:rsidR="00881D21" w:rsidRPr="002E1CA4" w:rsidRDefault="00881D21">
      <w:pPr>
        <w:jc w:val="center"/>
        <w:rPr>
          <w:b/>
        </w:rPr>
      </w:pPr>
    </w:p>
    <w:p w14:paraId="145A544B" w14:textId="77777777" w:rsidR="00881D21" w:rsidRPr="002E1CA4" w:rsidRDefault="00881D21">
      <w:pPr>
        <w:jc w:val="center"/>
        <w:rPr>
          <w:b/>
        </w:rPr>
      </w:pPr>
    </w:p>
    <w:p w14:paraId="68607937" w14:textId="77777777" w:rsidR="00881D21" w:rsidRPr="002E1CA4" w:rsidRDefault="00102041" w:rsidP="1208528E">
      <w:pPr>
        <w:rPr>
          <w:b/>
          <w:bCs/>
        </w:rPr>
      </w:pPr>
      <w:r w:rsidRPr="002E1CA4">
        <w:rPr>
          <w:b/>
          <w:bCs/>
        </w:rPr>
        <w:t>Tabla.                                                                                                        Página</w:t>
      </w:r>
    </w:p>
    <w:p w14:paraId="5817271E" w14:textId="77777777" w:rsidR="00881D21" w:rsidRPr="002E1CA4" w:rsidRDefault="00102041">
      <w:pPr>
        <w:rPr>
          <w:b/>
        </w:rPr>
      </w:pPr>
      <w:r w:rsidRPr="002E1CA4">
        <w:rPr>
          <w:b/>
        </w:rPr>
        <w:tab/>
      </w:r>
    </w:p>
    <w:p w14:paraId="0B449892" w14:textId="77777777" w:rsidR="00881D21" w:rsidRPr="002E1CA4" w:rsidRDefault="00102041">
      <w:r w:rsidRPr="002E1CA4">
        <w:rPr>
          <w:b/>
        </w:rPr>
        <w:tab/>
      </w:r>
      <w:r w:rsidRPr="002E1CA4">
        <w:tab/>
      </w:r>
      <w:r w:rsidRPr="002E1CA4">
        <w:tab/>
      </w:r>
      <w:r w:rsidRPr="002E1CA4">
        <w:tab/>
      </w:r>
      <w:r w:rsidRPr="002E1CA4">
        <w:tab/>
      </w:r>
      <w:r w:rsidRPr="002E1CA4">
        <w:tab/>
      </w:r>
      <w:r w:rsidRPr="002E1CA4">
        <w:tab/>
      </w:r>
      <w:r w:rsidRPr="002E1CA4">
        <w:tab/>
      </w:r>
      <w:r w:rsidRPr="002E1CA4">
        <w:tab/>
      </w:r>
      <w:r w:rsidRPr="002E1CA4">
        <w:tab/>
        <w:t xml:space="preserve">   </w:t>
      </w:r>
    </w:p>
    <w:p w14:paraId="619DD761" w14:textId="77777777" w:rsidR="00881D21" w:rsidRPr="002E1CA4" w:rsidRDefault="00102041">
      <w:pPr>
        <w:widowControl w:val="0"/>
        <w:pBdr>
          <w:top w:val="nil"/>
          <w:left w:val="nil"/>
          <w:bottom w:val="nil"/>
          <w:right w:val="nil"/>
          <w:between w:val="nil"/>
        </w:pBdr>
        <w:rPr>
          <w:rFonts w:ascii="Calibri" w:eastAsia="Calibri" w:hAnsi="Calibri" w:cs="Calibri"/>
          <w:color w:val="000000"/>
        </w:rPr>
      </w:pPr>
      <w:r w:rsidRPr="002E1CA4">
        <w:rPr>
          <w:rFonts w:ascii="Calibri" w:eastAsia="Calibri" w:hAnsi="Calibri" w:cs="Calibri"/>
          <w:color w:val="000000"/>
        </w:rPr>
        <w:t xml:space="preserve">  </w:t>
      </w:r>
    </w:p>
    <w:sdt>
      <w:sdtPr>
        <w:id w:val="-1272468077"/>
        <w:docPartObj>
          <w:docPartGallery w:val="Table of Contents"/>
          <w:docPartUnique/>
        </w:docPartObj>
      </w:sdtPr>
      <w:sdtContent>
        <w:p w14:paraId="7F5C82DF"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fldChar w:fldCharType="begin"/>
          </w:r>
          <w:r w:rsidRPr="002E1CA4">
            <w:instrText xml:space="preserve"> TOC \h \u \z \t "Heading 1,1,Heading 2,2,Heading 3,3,"</w:instrText>
          </w:r>
          <w:r w:rsidRPr="002E1CA4">
            <w:fldChar w:fldCharType="separate"/>
          </w:r>
          <w:hyperlink w:anchor="_heading=h.1fob9te">
            <w:r w:rsidRPr="002E1CA4">
              <w:rPr>
                <w:color w:val="000000"/>
                <w:sz w:val="24"/>
                <w:szCs w:val="24"/>
              </w:rPr>
              <w:t>1.    (Nombre de la Tabla)</w:t>
            </w:r>
          </w:hyperlink>
          <w:hyperlink w:anchor="_heading=h.1fob9te">
            <w:r w:rsidRPr="002E1CA4">
              <w:rPr>
                <w:rFonts w:ascii="Calibri" w:eastAsia="Calibri" w:hAnsi="Calibri" w:cs="Calibri"/>
                <w:color w:val="000000"/>
              </w:rPr>
              <w:tab/>
              <w:t>9</w:t>
            </w:r>
          </w:hyperlink>
        </w:p>
        <w:p w14:paraId="1B158EAA" w14:textId="77777777" w:rsidR="00881D21" w:rsidRPr="002E1CA4" w:rsidRDefault="00881D21">
          <w:pPr>
            <w:ind w:left="851"/>
          </w:pPr>
        </w:p>
        <w:p w14:paraId="250EC795"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hyperlink w:anchor="_heading=h.3znysh7">
            <w:r w:rsidRPr="002E1CA4">
              <w:rPr>
                <w:color w:val="000000"/>
                <w:sz w:val="24"/>
                <w:szCs w:val="24"/>
              </w:rPr>
              <w:t>2.    (Nombre de la Tabla)</w:t>
            </w:r>
          </w:hyperlink>
          <w:hyperlink w:anchor="_heading=h.3znysh7">
            <w:r w:rsidRPr="002E1CA4">
              <w:rPr>
                <w:rFonts w:ascii="Calibri" w:eastAsia="Calibri" w:hAnsi="Calibri" w:cs="Calibri"/>
                <w:color w:val="000000"/>
              </w:rPr>
              <w:tab/>
              <w:t>10</w:t>
            </w:r>
          </w:hyperlink>
        </w:p>
        <w:p w14:paraId="430B5EF8" w14:textId="77777777" w:rsidR="00881D21" w:rsidRPr="002E1CA4" w:rsidRDefault="00881D21">
          <w:pPr>
            <w:pBdr>
              <w:top w:val="nil"/>
              <w:left w:val="nil"/>
              <w:bottom w:val="nil"/>
              <w:right w:val="nil"/>
              <w:between w:val="nil"/>
            </w:pBdr>
            <w:tabs>
              <w:tab w:val="right" w:pos="8544"/>
            </w:tabs>
            <w:spacing w:line="240" w:lineRule="auto"/>
            <w:rPr>
              <w:rFonts w:ascii="Calibri" w:eastAsia="Calibri" w:hAnsi="Calibri" w:cs="Calibri"/>
              <w:color w:val="000000"/>
            </w:rPr>
          </w:pPr>
        </w:p>
        <w:p w14:paraId="264720A5"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hyperlink w:anchor="_heading=h.gjdgxs">
            <w:r w:rsidRPr="002E1CA4">
              <w:rPr>
                <w:color w:val="000000"/>
                <w:sz w:val="24"/>
                <w:szCs w:val="24"/>
              </w:rPr>
              <w:t>3.    (Nombre de la Tabla)</w:t>
            </w:r>
          </w:hyperlink>
          <w:hyperlink w:anchor="_heading=h.gjdgxs">
            <w:r w:rsidRPr="002E1CA4">
              <w:rPr>
                <w:rFonts w:ascii="Calibri" w:eastAsia="Calibri" w:hAnsi="Calibri" w:cs="Calibri"/>
                <w:color w:val="000000"/>
              </w:rPr>
              <w:tab/>
              <w:t>11</w:t>
            </w:r>
          </w:hyperlink>
        </w:p>
        <w:p w14:paraId="11BC1789" w14:textId="77777777" w:rsidR="00881D21" w:rsidRPr="002E1CA4" w:rsidRDefault="00881D21">
          <w:pPr>
            <w:pBdr>
              <w:top w:val="nil"/>
              <w:left w:val="nil"/>
              <w:bottom w:val="nil"/>
              <w:right w:val="nil"/>
              <w:between w:val="nil"/>
            </w:pBdr>
            <w:tabs>
              <w:tab w:val="right" w:pos="8544"/>
            </w:tabs>
            <w:spacing w:line="240" w:lineRule="auto"/>
            <w:rPr>
              <w:rFonts w:ascii="Calibri" w:eastAsia="Calibri" w:hAnsi="Calibri" w:cs="Calibri"/>
              <w:color w:val="000000"/>
            </w:rPr>
          </w:pPr>
        </w:p>
        <w:p w14:paraId="77DFA215"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hyperlink w:anchor="_heading=h.gjdgxs">
            <w:r w:rsidRPr="002E1CA4">
              <w:rPr>
                <w:color w:val="000000"/>
                <w:sz w:val="24"/>
                <w:szCs w:val="24"/>
              </w:rPr>
              <w:t>4.    (Nombre de la Tabla)</w:t>
            </w:r>
          </w:hyperlink>
          <w:hyperlink w:anchor="_heading=h.gjdgxs">
            <w:r w:rsidRPr="002E1CA4">
              <w:rPr>
                <w:rFonts w:ascii="Calibri" w:eastAsia="Calibri" w:hAnsi="Calibri" w:cs="Calibri"/>
                <w:color w:val="000000"/>
              </w:rPr>
              <w:tab/>
              <w:t>12</w:t>
            </w:r>
          </w:hyperlink>
        </w:p>
        <w:p w14:paraId="5959EC20" w14:textId="77777777" w:rsidR="00881D21" w:rsidRPr="002E1CA4" w:rsidRDefault="00881D21">
          <w:pPr>
            <w:pBdr>
              <w:top w:val="nil"/>
              <w:left w:val="nil"/>
              <w:bottom w:val="nil"/>
              <w:right w:val="nil"/>
              <w:between w:val="nil"/>
            </w:pBdr>
            <w:tabs>
              <w:tab w:val="right" w:pos="8544"/>
            </w:tabs>
            <w:spacing w:line="240" w:lineRule="auto"/>
            <w:rPr>
              <w:rFonts w:ascii="Calibri" w:eastAsia="Calibri" w:hAnsi="Calibri" w:cs="Calibri"/>
              <w:color w:val="000000"/>
            </w:rPr>
          </w:pPr>
        </w:p>
        <w:p w14:paraId="69C46210"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hyperlink w:anchor="_heading=h.2et92p0">
            <w:r w:rsidRPr="002E1CA4">
              <w:rPr>
                <w:color w:val="000000"/>
                <w:sz w:val="24"/>
                <w:szCs w:val="24"/>
              </w:rPr>
              <w:t>5.    (Nombre de la Tabla)</w:t>
            </w:r>
          </w:hyperlink>
          <w:hyperlink w:anchor="_heading=h.2et92p0">
            <w:r w:rsidRPr="002E1CA4">
              <w:rPr>
                <w:rFonts w:ascii="Calibri" w:eastAsia="Calibri" w:hAnsi="Calibri" w:cs="Calibri"/>
                <w:color w:val="000000"/>
              </w:rPr>
              <w:tab/>
              <w:t>13</w:t>
            </w:r>
          </w:hyperlink>
        </w:p>
        <w:p w14:paraId="2DF2E2DE"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r w:rsidRPr="002E1CA4">
            <w:fldChar w:fldCharType="end"/>
          </w:r>
        </w:p>
      </w:sdtContent>
    </w:sdt>
    <w:p w14:paraId="59F63D6E" w14:textId="77777777" w:rsidR="00881D21" w:rsidRPr="002E1CA4" w:rsidRDefault="00102041">
      <w:r w:rsidRPr="002E1CA4">
        <w:tab/>
      </w:r>
      <w:r w:rsidRPr="002E1CA4">
        <w:tab/>
      </w:r>
      <w:r w:rsidRPr="002E1CA4">
        <w:tab/>
      </w:r>
      <w:r w:rsidRPr="002E1CA4">
        <w:tab/>
      </w:r>
      <w:r w:rsidRPr="002E1CA4">
        <w:tab/>
      </w:r>
      <w:r w:rsidRPr="002E1CA4">
        <w:tab/>
      </w:r>
      <w:r w:rsidRPr="002E1CA4">
        <w:tab/>
      </w:r>
      <w:r w:rsidRPr="002E1CA4">
        <w:tab/>
      </w:r>
      <w:r w:rsidRPr="002E1CA4">
        <w:tab/>
        <w:t xml:space="preserve">   </w:t>
      </w:r>
    </w:p>
    <w:p w14:paraId="569F9C8C" w14:textId="77777777" w:rsidR="00881D21" w:rsidRPr="002E1CA4" w:rsidRDefault="00881D21"/>
    <w:p w14:paraId="44457CCD" w14:textId="77777777" w:rsidR="00881D21" w:rsidRPr="002E1CA4" w:rsidRDefault="00102041">
      <w:r w:rsidRPr="002E1CA4">
        <w:br w:type="page"/>
      </w:r>
    </w:p>
    <w:p w14:paraId="38D1AB6D" w14:textId="77777777" w:rsidR="00881D21" w:rsidRPr="002E1CA4" w:rsidRDefault="00881D21">
      <w:pPr>
        <w:spacing w:line="480" w:lineRule="auto"/>
      </w:pPr>
    </w:p>
    <w:p w14:paraId="5EAA3E1A" w14:textId="77777777" w:rsidR="00881D21" w:rsidRPr="002E1CA4" w:rsidRDefault="00881D21">
      <w:pPr>
        <w:spacing w:line="480" w:lineRule="auto"/>
      </w:pPr>
    </w:p>
    <w:p w14:paraId="441D4C8D" w14:textId="77777777" w:rsidR="00881D21" w:rsidRPr="002E1CA4" w:rsidRDefault="00881D21">
      <w:pPr>
        <w:spacing w:line="480" w:lineRule="auto"/>
      </w:pPr>
    </w:p>
    <w:p w14:paraId="330EA6A6" w14:textId="77777777" w:rsidR="00881D21" w:rsidRPr="002E1CA4" w:rsidRDefault="00102041">
      <w:pPr>
        <w:keepNext/>
        <w:keepLines/>
        <w:pBdr>
          <w:top w:val="nil"/>
          <w:left w:val="nil"/>
          <w:bottom w:val="single" w:sz="12" w:space="1" w:color="000000"/>
          <w:right w:val="nil"/>
          <w:between w:val="nil"/>
        </w:pBdr>
        <w:spacing w:line="240" w:lineRule="auto"/>
        <w:jc w:val="center"/>
        <w:rPr>
          <w:b/>
          <w:color w:val="000000"/>
          <w:sz w:val="24"/>
          <w:szCs w:val="24"/>
        </w:rPr>
      </w:pPr>
      <w:r w:rsidRPr="002E1CA4">
        <w:rPr>
          <w:b/>
          <w:color w:val="000000"/>
          <w:sz w:val="24"/>
          <w:szCs w:val="24"/>
        </w:rPr>
        <w:t>ÍNDICE DE FIGURAS</w:t>
      </w:r>
    </w:p>
    <w:p w14:paraId="541BF795" w14:textId="77777777" w:rsidR="00881D21" w:rsidRPr="002E1CA4" w:rsidRDefault="00881D21">
      <w:pPr>
        <w:rPr>
          <w:b/>
        </w:rPr>
      </w:pPr>
    </w:p>
    <w:p w14:paraId="4FF601B2" w14:textId="77777777" w:rsidR="00881D21" w:rsidRPr="002E1CA4" w:rsidRDefault="00102041" w:rsidP="1208528E">
      <w:pPr>
        <w:rPr>
          <w:b/>
          <w:bCs/>
        </w:rPr>
      </w:pPr>
      <w:r w:rsidRPr="002E1CA4">
        <w:rPr>
          <w:b/>
          <w:bCs/>
        </w:rPr>
        <w:t>Figura.                                                                                                      Página</w:t>
      </w:r>
    </w:p>
    <w:p w14:paraId="2BABD917" w14:textId="77777777" w:rsidR="00881D21" w:rsidRPr="002E1CA4" w:rsidRDefault="00102041">
      <w:pPr>
        <w:rPr>
          <w:b/>
        </w:rPr>
      </w:pPr>
      <w:r w:rsidRPr="002E1CA4">
        <w:rPr>
          <w:b/>
        </w:rPr>
        <w:tab/>
      </w:r>
    </w:p>
    <w:p w14:paraId="7AB40F82" w14:textId="77777777" w:rsidR="00881D21" w:rsidRPr="002E1CA4" w:rsidRDefault="00102041">
      <w:r w:rsidRPr="002E1CA4">
        <w:rPr>
          <w:b/>
        </w:rPr>
        <w:tab/>
      </w:r>
      <w:r w:rsidRPr="002E1CA4">
        <w:tab/>
      </w:r>
      <w:r w:rsidRPr="002E1CA4">
        <w:tab/>
      </w:r>
      <w:r w:rsidRPr="002E1CA4">
        <w:tab/>
      </w:r>
      <w:r w:rsidRPr="002E1CA4">
        <w:tab/>
      </w:r>
      <w:r w:rsidRPr="002E1CA4">
        <w:tab/>
      </w:r>
      <w:r w:rsidRPr="002E1CA4">
        <w:tab/>
      </w:r>
      <w:r w:rsidRPr="002E1CA4">
        <w:tab/>
      </w:r>
      <w:r w:rsidRPr="002E1CA4">
        <w:tab/>
      </w:r>
      <w:r w:rsidRPr="002E1CA4">
        <w:tab/>
        <w:t xml:space="preserve">   </w:t>
      </w:r>
    </w:p>
    <w:p w14:paraId="68C3EB5B" w14:textId="77777777" w:rsidR="00881D21" w:rsidRPr="002E1CA4" w:rsidRDefault="00102041">
      <w:pPr>
        <w:widowControl w:val="0"/>
        <w:pBdr>
          <w:top w:val="nil"/>
          <w:left w:val="nil"/>
          <w:bottom w:val="nil"/>
          <w:right w:val="nil"/>
          <w:between w:val="nil"/>
        </w:pBdr>
        <w:rPr>
          <w:rFonts w:ascii="Calibri" w:eastAsia="Calibri" w:hAnsi="Calibri" w:cs="Calibri"/>
          <w:color w:val="000000"/>
        </w:rPr>
      </w:pPr>
      <w:r w:rsidRPr="002E1CA4">
        <w:rPr>
          <w:rFonts w:ascii="Calibri" w:eastAsia="Calibri" w:hAnsi="Calibri" w:cs="Calibri"/>
          <w:color w:val="000000"/>
        </w:rPr>
        <w:t xml:space="preserve">  </w:t>
      </w:r>
    </w:p>
    <w:sdt>
      <w:sdtPr>
        <w:id w:val="1283391500"/>
        <w:docPartObj>
          <w:docPartGallery w:val="Table of Contents"/>
          <w:docPartUnique/>
        </w:docPartObj>
      </w:sdtPr>
      <w:sdtContent>
        <w:p w14:paraId="3F28E8EF"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fldChar w:fldCharType="begin"/>
          </w:r>
          <w:r w:rsidRPr="002E1CA4">
            <w:instrText xml:space="preserve"> TOC \h \u \z \t "Heading 1,1,Heading 2,2,Heading 3,3,"</w:instrText>
          </w:r>
          <w:r w:rsidRPr="002E1CA4">
            <w:fldChar w:fldCharType="separate"/>
          </w:r>
          <w:hyperlink w:anchor="_heading=h.1fob9te">
            <w:r w:rsidRPr="002E1CA4">
              <w:rPr>
                <w:color w:val="000000"/>
                <w:sz w:val="24"/>
                <w:szCs w:val="24"/>
              </w:rPr>
              <w:t>1.    (Nombre de la Figura)</w:t>
            </w:r>
          </w:hyperlink>
          <w:hyperlink w:anchor="_heading=h.1fob9te">
            <w:r w:rsidRPr="002E1CA4">
              <w:rPr>
                <w:rFonts w:ascii="Calibri" w:eastAsia="Calibri" w:hAnsi="Calibri" w:cs="Calibri"/>
                <w:color w:val="000000"/>
              </w:rPr>
              <w:tab/>
              <w:t>9</w:t>
            </w:r>
          </w:hyperlink>
        </w:p>
        <w:p w14:paraId="1F7D01BA" w14:textId="77777777" w:rsidR="00881D21" w:rsidRPr="002E1CA4" w:rsidRDefault="00881D21">
          <w:pPr>
            <w:ind w:left="851"/>
          </w:pPr>
        </w:p>
        <w:p w14:paraId="19B7FB70"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hyperlink w:anchor="_heading=h.3znysh7">
            <w:r w:rsidRPr="002E1CA4">
              <w:rPr>
                <w:color w:val="000000"/>
                <w:sz w:val="24"/>
                <w:szCs w:val="24"/>
              </w:rPr>
              <w:t>2.    (Nombre de la Figura)</w:t>
            </w:r>
          </w:hyperlink>
          <w:hyperlink w:anchor="_heading=h.3znysh7">
            <w:r w:rsidRPr="002E1CA4">
              <w:rPr>
                <w:rFonts w:ascii="Calibri" w:eastAsia="Calibri" w:hAnsi="Calibri" w:cs="Calibri"/>
                <w:color w:val="000000"/>
              </w:rPr>
              <w:tab/>
              <w:t>10</w:t>
            </w:r>
          </w:hyperlink>
        </w:p>
        <w:p w14:paraId="4235BA60" w14:textId="77777777" w:rsidR="00881D21" w:rsidRPr="002E1CA4" w:rsidRDefault="00881D21">
          <w:pPr>
            <w:pBdr>
              <w:top w:val="nil"/>
              <w:left w:val="nil"/>
              <w:bottom w:val="nil"/>
              <w:right w:val="nil"/>
              <w:between w:val="nil"/>
            </w:pBdr>
            <w:tabs>
              <w:tab w:val="right" w:pos="8544"/>
            </w:tabs>
            <w:spacing w:line="240" w:lineRule="auto"/>
            <w:rPr>
              <w:rFonts w:ascii="Calibri" w:eastAsia="Calibri" w:hAnsi="Calibri" w:cs="Calibri"/>
              <w:color w:val="000000"/>
            </w:rPr>
          </w:pPr>
        </w:p>
        <w:p w14:paraId="223BC1AE"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hyperlink w:anchor="_heading=h.gjdgxs">
            <w:r w:rsidRPr="002E1CA4">
              <w:rPr>
                <w:color w:val="000000"/>
                <w:sz w:val="24"/>
                <w:szCs w:val="24"/>
              </w:rPr>
              <w:t>3.    (Nombre de la Figura)</w:t>
            </w:r>
          </w:hyperlink>
          <w:hyperlink w:anchor="_heading=h.gjdgxs">
            <w:r w:rsidRPr="002E1CA4">
              <w:rPr>
                <w:rFonts w:ascii="Calibri" w:eastAsia="Calibri" w:hAnsi="Calibri" w:cs="Calibri"/>
                <w:color w:val="000000"/>
              </w:rPr>
              <w:tab/>
              <w:t>11</w:t>
            </w:r>
          </w:hyperlink>
        </w:p>
        <w:p w14:paraId="6981EAA7" w14:textId="77777777" w:rsidR="00881D21" w:rsidRPr="002E1CA4" w:rsidRDefault="00881D21">
          <w:pPr>
            <w:pBdr>
              <w:top w:val="nil"/>
              <w:left w:val="nil"/>
              <w:bottom w:val="nil"/>
              <w:right w:val="nil"/>
              <w:between w:val="nil"/>
            </w:pBdr>
            <w:tabs>
              <w:tab w:val="right" w:pos="8544"/>
            </w:tabs>
            <w:spacing w:line="240" w:lineRule="auto"/>
            <w:rPr>
              <w:rFonts w:ascii="Calibri" w:eastAsia="Calibri" w:hAnsi="Calibri" w:cs="Calibri"/>
              <w:color w:val="000000"/>
            </w:rPr>
          </w:pPr>
        </w:p>
        <w:p w14:paraId="3813FC95"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hyperlink w:anchor="_heading=h.gjdgxs">
            <w:r w:rsidRPr="002E1CA4">
              <w:rPr>
                <w:color w:val="000000"/>
                <w:sz w:val="24"/>
                <w:szCs w:val="24"/>
              </w:rPr>
              <w:t>4.    (Nombre de la Figura)</w:t>
            </w:r>
          </w:hyperlink>
          <w:hyperlink w:anchor="_heading=h.gjdgxs">
            <w:r w:rsidRPr="002E1CA4">
              <w:rPr>
                <w:rFonts w:ascii="Calibri" w:eastAsia="Calibri" w:hAnsi="Calibri" w:cs="Calibri"/>
                <w:color w:val="000000"/>
              </w:rPr>
              <w:tab/>
              <w:t>12</w:t>
            </w:r>
          </w:hyperlink>
        </w:p>
        <w:p w14:paraId="71CDB9E4" w14:textId="77777777" w:rsidR="00881D21" w:rsidRPr="002E1CA4" w:rsidRDefault="00881D21">
          <w:pPr>
            <w:pBdr>
              <w:top w:val="nil"/>
              <w:left w:val="nil"/>
              <w:bottom w:val="nil"/>
              <w:right w:val="nil"/>
              <w:between w:val="nil"/>
            </w:pBdr>
            <w:tabs>
              <w:tab w:val="right" w:pos="8544"/>
            </w:tabs>
            <w:spacing w:line="240" w:lineRule="auto"/>
            <w:rPr>
              <w:rFonts w:ascii="Calibri" w:eastAsia="Calibri" w:hAnsi="Calibri" w:cs="Calibri"/>
              <w:color w:val="000000"/>
            </w:rPr>
          </w:pPr>
        </w:p>
        <w:p w14:paraId="7C6150E4"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hyperlink w:anchor="_heading=h.2et92p0">
            <w:r w:rsidRPr="002E1CA4">
              <w:rPr>
                <w:color w:val="000000"/>
                <w:sz w:val="24"/>
                <w:szCs w:val="24"/>
              </w:rPr>
              <w:t>5.    (Nombre de la Figura)</w:t>
            </w:r>
          </w:hyperlink>
          <w:hyperlink w:anchor="_heading=h.2et92p0">
            <w:r w:rsidRPr="002E1CA4">
              <w:rPr>
                <w:rFonts w:ascii="Calibri" w:eastAsia="Calibri" w:hAnsi="Calibri" w:cs="Calibri"/>
                <w:color w:val="000000"/>
              </w:rPr>
              <w:tab/>
              <w:t>13</w:t>
            </w:r>
          </w:hyperlink>
        </w:p>
        <w:p w14:paraId="3C693EC7" w14:textId="77777777" w:rsidR="00881D21" w:rsidRPr="002E1CA4" w:rsidRDefault="00102041">
          <w:pPr>
            <w:pBdr>
              <w:top w:val="nil"/>
              <w:left w:val="nil"/>
              <w:bottom w:val="nil"/>
              <w:right w:val="nil"/>
              <w:between w:val="nil"/>
            </w:pBdr>
            <w:tabs>
              <w:tab w:val="right" w:pos="8544"/>
            </w:tabs>
            <w:spacing w:line="240" w:lineRule="auto"/>
            <w:rPr>
              <w:rFonts w:ascii="Calibri" w:eastAsia="Calibri" w:hAnsi="Calibri" w:cs="Calibri"/>
              <w:color w:val="000000"/>
            </w:rPr>
          </w:pPr>
          <w:r w:rsidRPr="002E1CA4">
            <w:rPr>
              <w:rFonts w:ascii="Calibri" w:eastAsia="Calibri" w:hAnsi="Calibri" w:cs="Calibri"/>
              <w:color w:val="000000"/>
            </w:rPr>
            <w:t xml:space="preserve">      </w:t>
          </w:r>
        </w:p>
        <w:p w14:paraId="2C9A2D30" w14:textId="77777777" w:rsidR="00881D21" w:rsidRPr="002E1CA4" w:rsidRDefault="00102041">
          <w:r w:rsidRPr="002E1CA4">
            <w:fldChar w:fldCharType="end"/>
          </w:r>
        </w:p>
      </w:sdtContent>
    </w:sdt>
    <w:p w14:paraId="31C45C8F" w14:textId="77777777" w:rsidR="00881D21" w:rsidRPr="002E1CA4" w:rsidRDefault="00881D21"/>
    <w:p w14:paraId="551FB6C9" w14:textId="77777777" w:rsidR="00881D21" w:rsidRPr="002E1CA4" w:rsidRDefault="00102041">
      <w:r w:rsidRPr="002E1CA4">
        <w:br w:type="page"/>
      </w:r>
    </w:p>
    <w:p w14:paraId="3CB418E2" w14:textId="77777777" w:rsidR="00881D21" w:rsidRPr="002E1CA4" w:rsidRDefault="00881D21">
      <w:pPr>
        <w:spacing w:line="480" w:lineRule="auto"/>
      </w:pPr>
    </w:p>
    <w:p w14:paraId="642B641A" w14:textId="77777777" w:rsidR="00881D21" w:rsidRPr="002E1CA4" w:rsidRDefault="00881D21">
      <w:pPr>
        <w:spacing w:line="480" w:lineRule="auto"/>
      </w:pPr>
    </w:p>
    <w:p w14:paraId="6FAC16A7" w14:textId="77777777" w:rsidR="00881D21" w:rsidRPr="002E1CA4" w:rsidRDefault="00881D21">
      <w:pPr>
        <w:spacing w:line="480" w:lineRule="auto"/>
      </w:pPr>
    </w:p>
    <w:p w14:paraId="37EE035F" w14:textId="77777777" w:rsidR="00881D21" w:rsidRPr="002E1CA4" w:rsidRDefault="00102041">
      <w:pPr>
        <w:pBdr>
          <w:bottom w:val="single" w:sz="12" w:space="1" w:color="000000"/>
        </w:pBdr>
        <w:jc w:val="center"/>
        <w:rPr>
          <w:b/>
        </w:rPr>
      </w:pPr>
      <w:r w:rsidRPr="002E1CA4">
        <w:rPr>
          <w:b/>
        </w:rPr>
        <w:t>AGRADECIMIENTOS</w:t>
      </w:r>
    </w:p>
    <w:p w14:paraId="41043358" w14:textId="77777777" w:rsidR="00881D21" w:rsidRPr="002E1CA4" w:rsidRDefault="00881D21">
      <w:pPr>
        <w:jc w:val="center"/>
        <w:rPr>
          <w:b/>
        </w:rPr>
      </w:pPr>
    </w:p>
    <w:p w14:paraId="59329D05" w14:textId="77777777" w:rsidR="00881D21" w:rsidRPr="002E1CA4" w:rsidRDefault="00881D21">
      <w:pPr>
        <w:jc w:val="both"/>
      </w:pPr>
    </w:p>
    <w:p w14:paraId="05BEB1CB" w14:textId="77777777" w:rsidR="00881D21" w:rsidRPr="002E1CA4" w:rsidRDefault="00881D21">
      <w:pPr>
        <w:jc w:val="both"/>
      </w:pPr>
    </w:p>
    <w:p w14:paraId="7FB77E93" w14:textId="77777777" w:rsidR="00881D21" w:rsidRPr="002E1CA4" w:rsidRDefault="00102041">
      <w:pPr>
        <w:jc w:val="both"/>
      </w:pPr>
      <w:r w:rsidRPr="002E1CA4">
        <w:t>(Aquí se escriben los agradecimientos a personas o instituciones que apoyaron la elaboración de este trabajo de investigación. Este apartado es opcional.).</w:t>
      </w:r>
    </w:p>
    <w:p w14:paraId="3D7FD8B2" w14:textId="77777777" w:rsidR="00881D21" w:rsidRPr="002E1CA4" w:rsidRDefault="00102041">
      <w:pPr>
        <w:sectPr w:rsidR="00881D21" w:rsidRPr="002E1CA4">
          <w:footerReference w:type="even" r:id="rId9"/>
          <w:footerReference w:type="default" r:id="rId10"/>
          <w:pgSz w:w="12240" w:h="15840"/>
          <w:pgMar w:top="1418" w:right="1418" w:bottom="1418" w:left="2268" w:header="708" w:footer="708" w:gutter="0"/>
          <w:pgNumType w:start="1"/>
          <w:cols w:space="720"/>
          <w:titlePg/>
        </w:sectPr>
      </w:pPr>
      <w:r w:rsidRPr="002E1CA4">
        <w:br w:type="page"/>
      </w:r>
    </w:p>
    <w:p w14:paraId="6CA8F1EA" w14:textId="77777777" w:rsidR="00881D21" w:rsidRPr="002E1CA4" w:rsidRDefault="00881D21">
      <w:pPr>
        <w:spacing w:line="480" w:lineRule="auto"/>
      </w:pPr>
    </w:p>
    <w:p w14:paraId="28558243" w14:textId="77777777" w:rsidR="00881D21" w:rsidRPr="002E1CA4" w:rsidRDefault="00881D21">
      <w:pPr>
        <w:spacing w:line="480" w:lineRule="auto"/>
        <w:rPr>
          <w:b/>
        </w:rPr>
      </w:pPr>
    </w:p>
    <w:p w14:paraId="73731F86" w14:textId="77777777" w:rsidR="00881D21" w:rsidRPr="002E1CA4" w:rsidRDefault="00881D21">
      <w:pPr>
        <w:spacing w:line="480" w:lineRule="auto"/>
      </w:pPr>
    </w:p>
    <w:p w14:paraId="228D5A0F" w14:textId="77777777" w:rsidR="00881D21" w:rsidRPr="002E1CA4" w:rsidRDefault="00102041">
      <w:pPr>
        <w:jc w:val="center"/>
        <w:rPr>
          <w:b/>
        </w:rPr>
      </w:pPr>
      <w:r w:rsidRPr="002E1CA4">
        <w:rPr>
          <w:b/>
        </w:rPr>
        <w:t>CAPÍTULO 1</w:t>
      </w:r>
    </w:p>
    <w:p w14:paraId="23C4A706" w14:textId="77777777" w:rsidR="00881D21" w:rsidRPr="002E1CA4" w:rsidRDefault="00881D21"/>
    <w:p w14:paraId="4A486626" w14:textId="77777777" w:rsidR="00881D21" w:rsidRPr="002E1CA4" w:rsidRDefault="00102041">
      <w:pPr>
        <w:pBdr>
          <w:bottom w:val="single" w:sz="12" w:space="1" w:color="000000"/>
        </w:pBdr>
        <w:jc w:val="center"/>
        <w:rPr>
          <w:b/>
        </w:rPr>
      </w:pPr>
      <w:r w:rsidRPr="002E1CA4">
        <w:rPr>
          <w:b/>
        </w:rPr>
        <w:t>INTRODUCCIÓN</w:t>
      </w:r>
    </w:p>
    <w:p w14:paraId="568398E5" w14:textId="77777777" w:rsidR="00881D21" w:rsidRPr="002E1CA4" w:rsidRDefault="00881D21">
      <w:pPr>
        <w:jc w:val="center"/>
        <w:rPr>
          <w:b/>
        </w:rPr>
      </w:pPr>
    </w:p>
    <w:p w14:paraId="118D61E9" w14:textId="77777777" w:rsidR="00881D21" w:rsidRPr="002E1CA4" w:rsidRDefault="00881D21"/>
    <w:p w14:paraId="77F1DD84" w14:textId="77777777" w:rsidR="00881D21" w:rsidRPr="002E1CA4" w:rsidRDefault="00102041" w:rsidP="1208528E">
      <w:pPr>
        <w:numPr>
          <w:ilvl w:val="1"/>
          <w:numId w:val="4"/>
        </w:numPr>
        <w:pBdr>
          <w:top w:val="nil"/>
          <w:left w:val="nil"/>
          <w:bottom w:val="nil"/>
          <w:right w:val="nil"/>
          <w:between w:val="nil"/>
        </w:pBdr>
        <w:spacing w:line="240" w:lineRule="auto"/>
        <w:jc w:val="center"/>
        <w:rPr>
          <w:b/>
          <w:bCs/>
          <w:color w:val="000000"/>
          <w:sz w:val="24"/>
          <w:szCs w:val="24"/>
        </w:rPr>
      </w:pPr>
      <w:r w:rsidRPr="002E1CA4">
        <w:rPr>
          <w:b/>
          <w:bCs/>
          <w:color w:val="000000" w:themeColor="text1"/>
          <w:sz w:val="24"/>
          <w:szCs w:val="24"/>
        </w:rPr>
        <w:t>(Subtítulo)</w:t>
      </w:r>
    </w:p>
    <w:p w14:paraId="14CC01CC" w14:textId="77777777" w:rsidR="00881D21" w:rsidRPr="002E1CA4" w:rsidRDefault="00881D21">
      <w:pPr>
        <w:rPr>
          <w:b/>
        </w:rPr>
      </w:pPr>
    </w:p>
    <w:p w14:paraId="716DB7B6" w14:textId="77777777" w:rsidR="00881D21" w:rsidRPr="002E1CA4" w:rsidRDefault="00102041" w:rsidP="1208528E">
      <w:r w:rsidRPr="002E1CA4">
        <w:t>1.1.1 (Subtítulo).</w:t>
      </w:r>
    </w:p>
    <w:p w14:paraId="192DC1B2" w14:textId="77777777" w:rsidR="00881D21" w:rsidRPr="002E1CA4" w:rsidRDefault="00102041">
      <w:r w:rsidRPr="002E1CA4">
        <w:t xml:space="preserve">         </w:t>
      </w:r>
    </w:p>
    <w:p w14:paraId="0B6C97D1" w14:textId="77777777" w:rsidR="00881D21" w:rsidRPr="002E1CA4" w:rsidRDefault="00102041" w:rsidP="1208528E">
      <w:r w:rsidRPr="002E1CA4">
        <w:t xml:space="preserve">         Redacción alusiva al primer subtema de este capítulo. </w:t>
      </w:r>
    </w:p>
    <w:p w14:paraId="6008F1B5" w14:textId="77777777" w:rsidR="00881D21" w:rsidRPr="002E1CA4" w:rsidRDefault="00881D21"/>
    <w:p w14:paraId="522DA337" w14:textId="77777777" w:rsidR="00881D21" w:rsidRPr="002E1CA4" w:rsidRDefault="00102041" w:rsidP="1208528E">
      <w:r w:rsidRPr="002E1CA4">
        <w:t xml:space="preserve">     1.1.1.1   (Subtítulo).</w:t>
      </w:r>
    </w:p>
    <w:p w14:paraId="3BDB557D" w14:textId="77777777" w:rsidR="00881D21" w:rsidRPr="002E1CA4" w:rsidRDefault="00102041" w:rsidP="1208528E">
      <w:r w:rsidRPr="002E1CA4">
        <w:t xml:space="preserve">     Redacción alusiva al segundo subtema de este capítulo.</w:t>
      </w:r>
    </w:p>
    <w:p w14:paraId="686B7473" w14:textId="77777777" w:rsidR="00881D21" w:rsidRPr="002E1CA4" w:rsidRDefault="00102041">
      <w:r w:rsidRPr="002E1CA4">
        <w:t xml:space="preserve">   </w:t>
      </w:r>
    </w:p>
    <w:p w14:paraId="7D5F4A06" w14:textId="77777777" w:rsidR="00881D21" w:rsidRPr="002E1CA4" w:rsidRDefault="00102041" w:rsidP="1208528E">
      <w:r w:rsidRPr="002E1CA4">
        <w:t xml:space="preserve">     1.1.1.1.1   (Subtítulo). Redacción alusiva al segundo subtema de este capítulo.</w:t>
      </w:r>
    </w:p>
    <w:p w14:paraId="4BA7B7BF" w14:textId="77777777" w:rsidR="00881D21" w:rsidRPr="002E1CA4" w:rsidRDefault="00881D21"/>
    <w:p w14:paraId="7C41060E" w14:textId="77777777" w:rsidR="00881D21" w:rsidRPr="002E1CA4" w:rsidRDefault="00102041" w:rsidP="1208528E">
      <w:pPr>
        <w:numPr>
          <w:ilvl w:val="1"/>
          <w:numId w:val="4"/>
        </w:numPr>
        <w:pBdr>
          <w:top w:val="nil"/>
          <w:left w:val="nil"/>
          <w:bottom w:val="nil"/>
          <w:right w:val="nil"/>
          <w:between w:val="nil"/>
        </w:pBdr>
        <w:spacing w:line="240" w:lineRule="auto"/>
        <w:jc w:val="center"/>
        <w:rPr>
          <w:b/>
          <w:bCs/>
          <w:color w:val="000000"/>
          <w:sz w:val="24"/>
          <w:szCs w:val="24"/>
        </w:rPr>
      </w:pPr>
      <w:r w:rsidRPr="002E1CA4">
        <w:rPr>
          <w:b/>
          <w:bCs/>
          <w:color w:val="000000" w:themeColor="text1"/>
          <w:sz w:val="24"/>
          <w:szCs w:val="24"/>
        </w:rPr>
        <w:t>(Subtítulo)</w:t>
      </w:r>
    </w:p>
    <w:p w14:paraId="659247F6" w14:textId="77777777" w:rsidR="00881D21" w:rsidRPr="002E1CA4" w:rsidRDefault="00881D21"/>
    <w:p w14:paraId="37DF9264" w14:textId="77777777" w:rsidR="00881D21" w:rsidRPr="002E1CA4" w:rsidRDefault="00102041">
      <w:r w:rsidRPr="002E1CA4">
        <w:t>1.2.1 (Subtítulo).</w:t>
      </w:r>
    </w:p>
    <w:p w14:paraId="16FFE0FF" w14:textId="77777777" w:rsidR="00881D21" w:rsidRPr="002E1CA4" w:rsidRDefault="00102041">
      <w:r w:rsidRPr="002E1CA4">
        <w:br w:type="page"/>
      </w:r>
    </w:p>
    <w:p w14:paraId="716741DE" w14:textId="77777777" w:rsidR="00881D21" w:rsidRPr="002E1CA4" w:rsidRDefault="00881D21">
      <w:pPr>
        <w:spacing w:line="480" w:lineRule="auto"/>
      </w:pPr>
      <w:bookmarkStart w:id="0" w:name="_heading=h.gjdgxs" w:colFirst="0" w:colLast="0"/>
      <w:bookmarkEnd w:id="0"/>
    </w:p>
    <w:p w14:paraId="2156DA6F" w14:textId="77777777" w:rsidR="00881D21" w:rsidRPr="002E1CA4" w:rsidRDefault="00881D21">
      <w:pPr>
        <w:spacing w:line="480" w:lineRule="auto"/>
      </w:pPr>
    </w:p>
    <w:p w14:paraId="1C06A6AC" w14:textId="77777777" w:rsidR="00881D21" w:rsidRPr="002E1CA4" w:rsidRDefault="00881D21">
      <w:pPr>
        <w:spacing w:line="480" w:lineRule="auto"/>
      </w:pPr>
    </w:p>
    <w:p w14:paraId="4634DFDD" w14:textId="77777777" w:rsidR="00881D21" w:rsidRPr="002E1CA4" w:rsidRDefault="00102041">
      <w:pPr>
        <w:jc w:val="center"/>
        <w:rPr>
          <w:b/>
        </w:rPr>
      </w:pPr>
      <w:r w:rsidRPr="002E1CA4">
        <w:rPr>
          <w:b/>
        </w:rPr>
        <w:t>CAPÍTULO 2</w:t>
      </w:r>
    </w:p>
    <w:p w14:paraId="757CF0C8" w14:textId="77777777" w:rsidR="00881D21" w:rsidRPr="002E1CA4" w:rsidRDefault="00881D21"/>
    <w:p w14:paraId="552E1E25" w14:textId="77777777" w:rsidR="00881D21" w:rsidRPr="002E1CA4" w:rsidRDefault="00102041">
      <w:pPr>
        <w:pBdr>
          <w:bottom w:val="single" w:sz="12" w:space="1" w:color="000000"/>
        </w:pBdr>
        <w:jc w:val="center"/>
        <w:rPr>
          <w:b/>
        </w:rPr>
      </w:pPr>
      <w:r w:rsidRPr="002E1CA4">
        <w:rPr>
          <w:b/>
        </w:rPr>
        <w:t>DELIMITACIÓN Y PLANTEAMIENTO DEL PROBLEMA DE INVESTIGACIÓN</w:t>
      </w:r>
    </w:p>
    <w:p w14:paraId="65474416" w14:textId="77777777" w:rsidR="00881D21" w:rsidRPr="002E1CA4" w:rsidRDefault="00881D21">
      <w:pPr>
        <w:jc w:val="center"/>
        <w:rPr>
          <w:b/>
        </w:rPr>
      </w:pPr>
    </w:p>
    <w:p w14:paraId="7A0BE73D" w14:textId="77777777" w:rsidR="00881D21" w:rsidRPr="002E1CA4" w:rsidRDefault="00881D21"/>
    <w:p w14:paraId="35B31AE7" w14:textId="77777777" w:rsidR="00881D21" w:rsidRPr="002E1CA4" w:rsidRDefault="00102041" w:rsidP="1C41BDA1">
      <w:pPr>
        <w:keepNext/>
        <w:keepLines/>
        <w:spacing w:after="117" w:line="259" w:lineRule="auto"/>
        <w:ind w:right="49" w:hanging="10"/>
        <w:jc w:val="center"/>
        <w:rPr>
          <w:b/>
          <w:bCs/>
          <w:color w:val="000000"/>
        </w:rPr>
      </w:pPr>
      <w:r w:rsidRPr="002E1CA4">
        <w:rPr>
          <w:b/>
          <w:bCs/>
          <w:color w:val="000000" w:themeColor="text1"/>
        </w:rPr>
        <w:t xml:space="preserve">2.1 Delimitación del Problema </w:t>
      </w:r>
    </w:p>
    <w:p w14:paraId="331BE09E" w14:textId="77777777" w:rsidR="00881D21" w:rsidRPr="002E1CA4" w:rsidRDefault="00102041" w:rsidP="00AF5FF3">
      <w:pPr>
        <w:spacing w:after="115" w:line="360" w:lineRule="auto"/>
        <w:ind w:right="49"/>
        <w:jc w:val="both"/>
        <w:rPr>
          <w:color w:val="000000"/>
        </w:rPr>
      </w:pPr>
      <w:r w:rsidRPr="002E1CA4">
        <w:rPr>
          <w:color w:val="000000"/>
        </w:rPr>
        <w:t xml:space="preserve"> </w:t>
      </w:r>
    </w:p>
    <w:p w14:paraId="7AC6EBF4" w14:textId="17A7CC34" w:rsidR="001279C1" w:rsidRPr="001279C1" w:rsidRDefault="001279C1" w:rsidP="00C84C7F">
      <w:pPr>
        <w:spacing w:after="120" w:line="360" w:lineRule="auto"/>
        <w:ind w:right="49" w:firstLine="567"/>
        <w:jc w:val="both"/>
        <w:rPr>
          <w:color w:val="000000" w:themeColor="text1"/>
        </w:rPr>
      </w:pPr>
      <w:r w:rsidRPr="001279C1">
        <w:rPr>
          <w:color w:val="000000" w:themeColor="text1"/>
        </w:rPr>
        <w:t xml:space="preserve">Esta investigación se centra en la aplicación de modelos de aprendizaje automático en las 30 principales acciones de la industria de semiconductores, representadas en el fondo cotizado (ETF) iShares PHLX Semiconductor (SOXX). Este ETF busca replicar los resultados de inversión de un índice compuesto por valores de renta variable del sector de semiconductores en </w:t>
      </w:r>
      <w:r w:rsidR="00C84C7F" w:rsidRPr="002E1CA4">
        <w:rPr>
          <w:color w:val="000000" w:themeColor="text1"/>
        </w:rPr>
        <w:t>EE. UU.</w:t>
      </w:r>
      <w:r w:rsidRPr="001279C1">
        <w:rPr>
          <w:color w:val="000000" w:themeColor="text1"/>
        </w:rPr>
        <w:t>, el NYSE Semiconductor Index (ICESEMIN).</w:t>
      </w:r>
    </w:p>
    <w:p w14:paraId="3350CE45" w14:textId="5E17821A" w:rsidR="00881D21" w:rsidRPr="002E1CA4" w:rsidRDefault="00881D21">
      <w:pPr>
        <w:spacing w:after="120" w:line="259" w:lineRule="auto"/>
        <w:ind w:right="49"/>
        <w:rPr>
          <w:color w:val="000000"/>
        </w:rPr>
      </w:pPr>
    </w:p>
    <w:p w14:paraId="3E05EEA1" w14:textId="1379EB81" w:rsidR="00881D21" w:rsidRPr="002E1CA4" w:rsidRDefault="00102041" w:rsidP="1C41BDA1">
      <w:pPr>
        <w:keepNext/>
        <w:keepLines/>
        <w:spacing w:after="117" w:line="259" w:lineRule="auto"/>
        <w:ind w:right="49" w:hanging="10"/>
        <w:jc w:val="center"/>
        <w:rPr>
          <w:b/>
          <w:bCs/>
          <w:color w:val="000000"/>
        </w:rPr>
      </w:pPr>
      <w:r w:rsidRPr="002E1CA4">
        <w:rPr>
          <w:b/>
          <w:bCs/>
          <w:color w:val="000000" w:themeColor="text1"/>
        </w:rPr>
        <w:t>2.</w:t>
      </w:r>
      <w:r w:rsidR="00AF5FF3" w:rsidRPr="002E1CA4">
        <w:rPr>
          <w:b/>
          <w:bCs/>
          <w:color w:val="000000" w:themeColor="text1"/>
        </w:rPr>
        <w:t>2</w:t>
      </w:r>
      <w:r w:rsidRPr="002E1CA4">
        <w:rPr>
          <w:b/>
          <w:bCs/>
          <w:color w:val="000000" w:themeColor="text1"/>
        </w:rPr>
        <w:t xml:space="preserve"> Planteamiento del Problema </w:t>
      </w:r>
    </w:p>
    <w:p w14:paraId="04A06DDC" w14:textId="77777777" w:rsidR="00881D21" w:rsidRPr="002E1CA4" w:rsidRDefault="00102041">
      <w:pPr>
        <w:spacing w:after="115" w:line="259" w:lineRule="auto"/>
        <w:ind w:right="49"/>
        <w:rPr>
          <w:color w:val="000000"/>
        </w:rPr>
      </w:pPr>
      <w:r w:rsidRPr="002E1CA4">
        <w:rPr>
          <w:color w:val="000000"/>
        </w:rPr>
        <w:t xml:space="preserve"> </w:t>
      </w:r>
    </w:p>
    <w:p w14:paraId="6CD52564" w14:textId="77777777" w:rsidR="002E56AC" w:rsidRPr="002E56AC" w:rsidRDefault="002E56AC" w:rsidP="002E56AC">
      <w:pPr>
        <w:spacing w:line="360" w:lineRule="auto"/>
        <w:ind w:right="49" w:firstLine="567"/>
        <w:jc w:val="both"/>
        <w:rPr>
          <w:color w:val="000000" w:themeColor="text1"/>
        </w:rPr>
      </w:pPr>
      <w:r w:rsidRPr="002E56AC">
        <w:rPr>
          <w:color w:val="000000" w:themeColor="text1"/>
        </w:rPr>
        <w:t>El aprendizaje automático ha ganado interés en el ámbito financiero, especialmente en la predicción de series de tiempo. Sin embargo, la mayoría de los estudios se han centrado en índices bursátiles generales o acciones tecnológicas prominentes, dejando un vacío en la investigación sobre el sector de semiconductores. Esta falta de estudios representa una oportunidad, especialmente considerando el crecimiento de la industria de semiconductores impulsado por la inteligencia artificial y los modelos de lenguaje a gran escala (LLMs).</w:t>
      </w:r>
    </w:p>
    <w:p w14:paraId="48086F41" w14:textId="77777777" w:rsidR="002E56AC" w:rsidRPr="002E56AC" w:rsidRDefault="002E56AC" w:rsidP="002E56AC">
      <w:pPr>
        <w:spacing w:line="360" w:lineRule="auto"/>
        <w:ind w:right="49" w:firstLine="567"/>
        <w:jc w:val="both"/>
        <w:rPr>
          <w:color w:val="000000" w:themeColor="text1"/>
        </w:rPr>
      </w:pPr>
    </w:p>
    <w:p w14:paraId="06A0E91B" w14:textId="77777777" w:rsidR="002E56AC" w:rsidRPr="002E56AC" w:rsidRDefault="002E56AC" w:rsidP="002E56AC">
      <w:pPr>
        <w:spacing w:line="360" w:lineRule="auto"/>
        <w:ind w:right="49" w:firstLine="567"/>
        <w:jc w:val="both"/>
        <w:rPr>
          <w:color w:val="000000" w:themeColor="text1"/>
        </w:rPr>
      </w:pPr>
      <w:r w:rsidRPr="002E56AC">
        <w:rPr>
          <w:color w:val="000000" w:themeColor="text1"/>
        </w:rPr>
        <w:t xml:space="preserve">Un desafío clave en la predicción del rendimiento de acciones y ETFs en el sector de semiconductores es la diversidad y la complejidad de los factores que afectan sus precios. Estas acciones están sujetas a rápidos cambios tecnológicos, variaciones en la demanda del mercado y políticas comerciales internacionales, lo que hace que sus comportamientos sean difíciles de predecir. Además, los ETFs, aunque diversificados, </w:t>
      </w:r>
      <w:r w:rsidRPr="002E56AC">
        <w:rPr>
          <w:color w:val="000000" w:themeColor="text1"/>
        </w:rPr>
        <w:lastRenderedPageBreak/>
        <w:t>pueden no capturar todas las oportunidades de rendimiento que las acciones individuales podrían ofrecer.</w:t>
      </w:r>
    </w:p>
    <w:p w14:paraId="661B7823" w14:textId="77777777" w:rsidR="002E56AC" w:rsidRPr="002E56AC" w:rsidRDefault="002E56AC" w:rsidP="002E56AC">
      <w:pPr>
        <w:spacing w:line="360" w:lineRule="auto"/>
        <w:ind w:right="49" w:firstLine="567"/>
        <w:jc w:val="both"/>
        <w:rPr>
          <w:color w:val="000000" w:themeColor="text1"/>
        </w:rPr>
      </w:pPr>
    </w:p>
    <w:p w14:paraId="46DCD3EC" w14:textId="77777777" w:rsidR="002E56AC" w:rsidRPr="002E56AC" w:rsidRDefault="002E56AC" w:rsidP="002E56AC">
      <w:pPr>
        <w:spacing w:line="360" w:lineRule="auto"/>
        <w:ind w:right="49" w:firstLine="567"/>
        <w:jc w:val="both"/>
        <w:rPr>
          <w:color w:val="000000" w:themeColor="text1"/>
        </w:rPr>
      </w:pPr>
      <w:r w:rsidRPr="002E56AC">
        <w:rPr>
          <w:color w:val="000000" w:themeColor="text1"/>
        </w:rPr>
        <w:t>Otra cuestión importante es determinar si es más conveniente invertir en acciones individuales del sector de semiconductores o en el ETF SOXX. Mientras que el ETF ofrece una forma diversificada de inversión con un riesgo potencialmente menor, las acciones individuales podrían proporcionar mayores rendimientos si se seleccionan adecuadamente. Este dilema es crucial para los inversores que buscan maximizar sus retornos y minimizar riesgos.</w:t>
      </w:r>
    </w:p>
    <w:p w14:paraId="20BACC38" w14:textId="77777777" w:rsidR="002E56AC" w:rsidRPr="002E56AC" w:rsidRDefault="002E56AC" w:rsidP="002E56AC">
      <w:pPr>
        <w:spacing w:line="360" w:lineRule="auto"/>
        <w:ind w:right="49" w:firstLine="567"/>
        <w:jc w:val="both"/>
        <w:rPr>
          <w:color w:val="000000" w:themeColor="text1"/>
        </w:rPr>
      </w:pPr>
    </w:p>
    <w:p w14:paraId="39393EC2" w14:textId="040E4074" w:rsidR="002E56AC" w:rsidRPr="002E56AC" w:rsidRDefault="002E56AC" w:rsidP="002E56AC">
      <w:pPr>
        <w:spacing w:line="360" w:lineRule="auto"/>
        <w:ind w:right="49" w:firstLine="567"/>
        <w:jc w:val="both"/>
        <w:rPr>
          <w:color w:val="000000" w:themeColor="text1"/>
        </w:rPr>
      </w:pPr>
      <w:r w:rsidRPr="002E56AC">
        <w:rPr>
          <w:color w:val="000000" w:themeColor="text1"/>
        </w:rPr>
        <w:t>Invertir en ETFs de semiconductores puede ocultar los rendimientos potenciales de acciones individuales del sector. La inversión implica asignar recursos con la expectativa de obtener beneficios futuros. El mercado de valores es una clase de activos popular, y la Hipótesis del Mercado Eficiente (</w:t>
      </w:r>
      <w:r w:rsidR="00622458" w:rsidRPr="002E1CA4">
        <w:rPr>
          <w:color w:val="000000" w:themeColor="text1"/>
        </w:rPr>
        <w:t>HME</w:t>
      </w:r>
      <w:r w:rsidRPr="002E56AC">
        <w:rPr>
          <w:color w:val="000000" w:themeColor="text1"/>
        </w:rPr>
        <w:t>) plantea que los precios de los activos reflejan toda la información disponible, haciendo imposible superar consistentemente al mercado.</w:t>
      </w:r>
    </w:p>
    <w:p w14:paraId="64297E14" w14:textId="77777777" w:rsidR="002E56AC" w:rsidRPr="002E56AC" w:rsidRDefault="002E56AC" w:rsidP="002E56AC">
      <w:pPr>
        <w:spacing w:line="360" w:lineRule="auto"/>
        <w:ind w:right="49" w:firstLine="567"/>
        <w:jc w:val="both"/>
        <w:rPr>
          <w:color w:val="000000" w:themeColor="text1"/>
        </w:rPr>
      </w:pPr>
    </w:p>
    <w:p w14:paraId="26D6AACC" w14:textId="1F82083E" w:rsidR="002E56AC" w:rsidRPr="002E56AC" w:rsidRDefault="002E56AC" w:rsidP="002E56AC">
      <w:pPr>
        <w:spacing w:line="360" w:lineRule="auto"/>
        <w:ind w:right="49" w:firstLine="567"/>
        <w:jc w:val="both"/>
        <w:rPr>
          <w:color w:val="000000" w:themeColor="text1"/>
        </w:rPr>
      </w:pPr>
      <w:r w:rsidRPr="002E56AC">
        <w:rPr>
          <w:color w:val="000000" w:themeColor="text1"/>
        </w:rPr>
        <w:t xml:space="preserve">Sin embargo, algunos inversores parecen superar los índices de referencia, generando alfas positivas. Esto plantea preguntas sobre la validez de la </w:t>
      </w:r>
      <w:r w:rsidR="00622458" w:rsidRPr="002E1CA4">
        <w:rPr>
          <w:color w:val="000000" w:themeColor="text1"/>
        </w:rPr>
        <w:t xml:space="preserve">HME </w:t>
      </w:r>
      <w:r w:rsidRPr="002E56AC">
        <w:rPr>
          <w:color w:val="000000" w:themeColor="text1"/>
        </w:rPr>
        <w:t>y cómo estos inversores logran superar al mercado. Un ejemplo es Warren Buffett, cuya selección de acciones se ha concentrado en unas pocas empresas, lo que plantea interrogantes sobre la dependencia en la capacidad de predecir rendimientos futuros y equilibrar el riesgo asociado.</w:t>
      </w:r>
    </w:p>
    <w:p w14:paraId="14630C4F" w14:textId="77777777" w:rsidR="002E56AC" w:rsidRPr="002E56AC" w:rsidRDefault="002E56AC" w:rsidP="002E56AC">
      <w:pPr>
        <w:spacing w:line="360" w:lineRule="auto"/>
        <w:ind w:right="49" w:firstLine="567"/>
        <w:jc w:val="both"/>
        <w:rPr>
          <w:color w:val="000000" w:themeColor="text1"/>
        </w:rPr>
      </w:pPr>
    </w:p>
    <w:p w14:paraId="1960E33F" w14:textId="36DBEF04" w:rsidR="00881D21" w:rsidRPr="002E1CA4" w:rsidRDefault="002E56AC" w:rsidP="002E56AC">
      <w:pPr>
        <w:spacing w:line="360" w:lineRule="auto"/>
        <w:ind w:right="49" w:firstLine="567"/>
        <w:jc w:val="both"/>
        <w:rPr>
          <w:color w:val="000000"/>
        </w:rPr>
      </w:pPr>
      <w:r w:rsidRPr="002E1CA4">
        <w:rPr>
          <w:color w:val="000000" w:themeColor="text1"/>
        </w:rPr>
        <w:t>La mayoría de las investigaciones previas se han centrado en la previsión de series temporales, pero pocas han explorado cómo el rendimiento de la previsión se relaciona con su utilidad, es decir, cómo mejores pronósticos pueden conducir a mejores decisiones y beneficios medibles. La investigación futura en el sector de semiconductores debería abordar estos desafíos y explorar la aplicabilidad de técnicas de aprendizaje automático, considerando la utilidad de los modelos predictivos para mejorar la toma de decisiones de inversión y la optimización de las estrategias de inversión en este sector.</w:t>
      </w:r>
      <w:r w:rsidR="00102041" w:rsidRPr="002E1CA4">
        <w:rPr>
          <w:color w:val="000000"/>
        </w:rPr>
        <w:tab/>
      </w:r>
      <w:r w:rsidR="00102041" w:rsidRPr="002E1CA4">
        <w:rPr>
          <w:b/>
          <w:color w:val="000000"/>
        </w:rPr>
        <w:t xml:space="preserve"> </w:t>
      </w:r>
    </w:p>
    <w:p w14:paraId="34FA9C56" w14:textId="77777777" w:rsidR="00881D21" w:rsidRPr="002E1CA4" w:rsidRDefault="00881D21">
      <w:pPr>
        <w:rPr>
          <w:b/>
        </w:rPr>
      </w:pPr>
    </w:p>
    <w:p w14:paraId="0D4C6EC7" w14:textId="77777777" w:rsidR="00881D21" w:rsidRPr="002E1CA4" w:rsidRDefault="00881D21">
      <w:pPr>
        <w:rPr>
          <w:b/>
        </w:rPr>
      </w:pPr>
    </w:p>
    <w:p w14:paraId="3CF9FF0E" w14:textId="1EB5D29A" w:rsidR="00881D21" w:rsidRPr="002E1CA4" w:rsidRDefault="00881D21">
      <w:pPr>
        <w:rPr>
          <w:b/>
        </w:rPr>
      </w:pPr>
    </w:p>
    <w:p w14:paraId="5DBA806B" w14:textId="77777777" w:rsidR="00881D21" w:rsidRPr="002E1CA4" w:rsidRDefault="00881D21">
      <w:pPr>
        <w:spacing w:line="480" w:lineRule="auto"/>
        <w:rPr>
          <w:b/>
        </w:rPr>
      </w:pPr>
    </w:p>
    <w:p w14:paraId="56DD7BE3" w14:textId="77777777" w:rsidR="00881D21" w:rsidRPr="002E1CA4" w:rsidRDefault="00881D21">
      <w:pPr>
        <w:spacing w:line="480" w:lineRule="auto"/>
        <w:jc w:val="center"/>
        <w:rPr>
          <w:b/>
        </w:rPr>
      </w:pPr>
    </w:p>
    <w:p w14:paraId="09E68657" w14:textId="77777777" w:rsidR="00881D21" w:rsidRPr="002E1CA4" w:rsidRDefault="00881D21">
      <w:pPr>
        <w:spacing w:line="480" w:lineRule="auto"/>
        <w:rPr>
          <w:b/>
        </w:rPr>
      </w:pPr>
    </w:p>
    <w:p w14:paraId="6BBC6708" w14:textId="77777777" w:rsidR="00881D21" w:rsidRPr="002E1CA4" w:rsidRDefault="00102041">
      <w:pPr>
        <w:jc w:val="center"/>
        <w:rPr>
          <w:b/>
        </w:rPr>
      </w:pPr>
      <w:r w:rsidRPr="002E1CA4">
        <w:rPr>
          <w:b/>
        </w:rPr>
        <w:t>CAPÍTULO 3</w:t>
      </w:r>
    </w:p>
    <w:p w14:paraId="35C99D49" w14:textId="77777777" w:rsidR="00881D21" w:rsidRPr="002E1CA4" w:rsidRDefault="00881D21"/>
    <w:p w14:paraId="12A3CB45" w14:textId="77777777" w:rsidR="00881D21" w:rsidRPr="002E1CA4" w:rsidRDefault="00102041">
      <w:pPr>
        <w:pBdr>
          <w:bottom w:val="single" w:sz="12" w:space="1" w:color="000000"/>
        </w:pBdr>
        <w:jc w:val="center"/>
        <w:rPr>
          <w:b/>
        </w:rPr>
      </w:pPr>
      <w:r w:rsidRPr="002E1CA4">
        <w:rPr>
          <w:b/>
        </w:rPr>
        <w:t>JUSTIFICACIÓN</w:t>
      </w:r>
    </w:p>
    <w:p w14:paraId="30B9D010" w14:textId="77777777" w:rsidR="00881D21" w:rsidRPr="002E1CA4" w:rsidRDefault="00881D21">
      <w:pPr>
        <w:jc w:val="center"/>
        <w:rPr>
          <w:b/>
        </w:rPr>
      </w:pPr>
    </w:p>
    <w:p w14:paraId="636FBFEA" w14:textId="77777777" w:rsidR="00881D21" w:rsidRPr="002E1CA4" w:rsidRDefault="00881D21" w:rsidP="00F028A7">
      <w:pPr>
        <w:spacing w:line="360" w:lineRule="auto"/>
        <w:jc w:val="both"/>
      </w:pPr>
    </w:p>
    <w:p w14:paraId="1A55B8FA" w14:textId="2FB5E570" w:rsidR="00F028A7" w:rsidRPr="002E1CA4" w:rsidRDefault="00F028A7" w:rsidP="1C41BDA1">
      <w:pPr>
        <w:spacing w:line="360" w:lineRule="auto"/>
        <w:ind w:firstLine="567"/>
        <w:jc w:val="both"/>
        <w:rPr>
          <w:color w:val="000000"/>
        </w:rPr>
      </w:pPr>
      <w:r w:rsidRPr="002E1CA4">
        <w:rPr>
          <w:color w:val="000000" w:themeColor="text1"/>
        </w:rPr>
        <w:t>La presente investigación se justifica por su contribución tanto a nivel teórico como práctico en el ámbito de las finanzas y el aprendizaje automático. Este estudio se enfoca en la predicción de rendimientos relativos en el sector de semiconductores, una industria de creciente relevancia debido al auge de la inteligencia artificial y la tecnología. La investigación no se limita a la previsión de valores de series temporales, sino que se centra en predicciones transversales, proporcionando una perspectiva más amplia y útil para la toma de decisiones de inversión. Al integrar modelos de aprendizaje automático, se espera avanzar en la teoría sobre la predicción financiera y la evaluación de activos, desafiando y complementando la Hipótesis del Mercado Eficiente</w:t>
      </w:r>
      <w:r w:rsidR="00622458" w:rsidRPr="002E1CA4">
        <w:rPr>
          <w:color w:val="000000" w:themeColor="text1"/>
        </w:rPr>
        <w:t xml:space="preserve">. </w:t>
      </w:r>
    </w:p>
    <w:p w14:paraId="65A5FD33" w14:textId="77777777" w:rsidR="00F028A7" w:rsidRPr="002E1CA4" w:rsidRDefault="00F028A7" w:rsidP="00F271FB">
      <w:pPr>
        <w:spacing w:line="360" w:lineRule="auto"/>
        <w:ind w:firstLine="567"/>
        <w:jc w:val="both"/>
        <w:rPr>
          <w:color w:val="000000"/>
        </w:rPr>
      </w:pPr>
    </w:p>
    <w:p w14:paraId="2BEF7814" w14:textId="01084A2B" w:rsidR="00F028A7" w:rsidRPr="002E1CA4" w:rsidRDefault="00F028A7" w:rsidP="1C41BDA1">
      <w:pPr>
        <w:spacing w:line="360" w:lineRule="auto"/>
        <w:ind w:firstLine="567"/>
        <w:jc w:val="both"/>
        <w:rPr>
          <w:color w:val="000000"/>
        </w:rPr>
      </w:pPr>
      <w:r w:rsidRPr="002E1CA4">
        <w:rPr>
          <w:color w:val="000000" w:themeColor="text1"/>
        </w:rPr>
        <w:t>La investigación tiene una importancia considerable para la sociedad y los mercados financieros. Los resultados beneficiarán a inversores individuales e institucionales al proporcionar un enfoque robusto para la selección de activos y la gestión de carteras en el sector de semiconductores. Al utilizar datos reales, identificados y disponibles públicamente, se garantiza la transparencia y la replicabilidad del estudio, lo que aumenta su validez y aplicabilidad.</w:t>
      </w:r>
    </w:p>
    <w:p w14:paraId="1CDE55FC" w14:textId="77777777" w:rsidR="00F028A7" w:rsidRPr="002E1CA4" w:rsidRDefault="00F028A7" w:rsidP="00F028A7">
      <w:pPr>
        <w:spacing w:line="360" w:lineRule="auto"/>
        <w:jc w:val="both"/>
        <w:rPr>
          <w:color w:val="000000"/>
        </w:rPr>
      </w:pPr>
    </w:p>
    <w:p w14:paraId="1895594D" w14:textId="3611F843" w:rsidR="00F028A7" w:rsidRPr="002E1CA4" w:rsidRDefault="00F028A7" w:rsidP="1C41BDA1">
      <w:pPr>
        <w:spacing w:line="360" w:lineRule="auto"/>
        <w:ind w:firstLine="567"/>
        <w:jc w:val="both"/>
        <w:rPr>
          <w:color w:val="000000"/>
        </w:rPr>
      </w:pPr>
      <w:r w:rsidRPr="002E1CA4">
        <w:rPr>
          <w:color w:val="000000" w:themeColor="text1"/>
        </w:rPr>
        <w:t xml:space="preserve">El estudio tiene el potencial de mejorar las estrategias de inversión mediante la aplicación de técnicas avanzadas de aprendizaje automático. Los resultados obtenidos permitirán a los inversores optimizar sus decisiones, ajustando las inversiones a los rendimientos esperados y gestionando mejor los riesgos asociados. </w:t>
      </w:r>
    </w:p>
    <w:p w14:paraId="348F8DA7" w14:textId="77777777" w:rsidR="00F028A7" w:rsidRPr="002E1CA4" w:rsidRDefault="00F028A7" w:rsidP="006749BC">
      <w:pPr>
        <w:spacing w:line="360" w:lineRule="auto"/>
        <w:ind w:firstLine="567"/>
        <w:jc w:val="both"/>
        <w:rPr>
          <w:color w:val="000000"/>
        </w:rPr>
      </w:pPr>
    </w:p>
    <w:p w14:paraId="39335F1E" w14:textId="023A1FBB" w:rsidR="00881D21" w:rsidRPr="002E1CA4" w:rsidRDefault="00F028A7" w:rsidP="006749BC">
      <w:pPr>
        <w:spacing w:line="360" w:lineRule="auto"/>
        <w:ind w:firstLine="567"/>
        <w:jc w:val="both"/>
      </w:pPr>
      <w:r w:rsidRPr="002E1CA4">
        <w:rPr>
          <w:color w:val="000000" w:themeColor="text1"/>
        </w:rPr>
        <w:t xml:space="preserve">La investigación es factible gracias al acceso a datos financieros detallados y al uso de herramientas estadísticas y de aprendizaje automático. Los modelos desarrollados pueden aplicarse de manera práctica en la gestión de carteras, proporcionando un marco para la toma de decisiones basada en datos. La metodología </w:t>
      </w:r>
      <w:r w:rsidRPr="002E1CA4">
        <w:rPr>
          <w:color w:val="000000" w:themeColor="text1"/>
        </w:rPr>
        <w:lastRenderedPageBreak/>
        <w:t>utilizada, que incluye la división de los datos en conjuntos de entrenamiento, prueba y validación, asegura la robustez y la precisión de las predicciones, facilitando su implementación en entornos reales.</w:t>
      </w:r>
    </w:p>
    <w:p w14:paraId="02D4E542" w14:textId="77777777" w:rsidR="00881D21" w:rsidRPr="002E1CA4" w:rsidRDefault="00881D21">
      <w:pPr>
        <w:jc w:val="both"/>
      </w:pPr>
    </w:p>
    <w:p w14:paraId="3C6BC2E8" w14:textId="77777777" w:rsidR="00881D21" w:rsidRPr="002E1CA4" w:rsidRDefault="00102041">
      <w:pPr>
        <w:jc w:val="both"/>
      </w:pPr>
      <w:r w:rsidRPr="002E1CA4">
        <w:br w:type="page"/>
      </w:r>
    </w:p>
    <w:p w14:paraId="0D212563" w14:textId="77777777" w:rsidR="00881D21" w:rsidRPr="002E1CA4" w:rsidRDefault="00881D21">
      <w:pPr>
        <w:spacing w:line="480" w:lineRule="auto"/>
        <w:jc w:val="center"/>
        <w:rPr>
          <w:b/>
        </w:rPr>
      </w:pPr>
      <w:bookmarkStart w:id="1" w:name="_heading=h.30j0zll" w:colFirst="0" w:colLast="0"/>
      <w:bookmarkEnd w:id="1"/>
    </w:p>
    <w:p w14:paraId="4BA40F0C" w14:textId="77777777" w:rsidR="00881D21" w:rsidRPr="002E1CA4" w:rsidRDefault="00881D21">
      <w:pPr>
        <w:spacing w:line="480" w:lineRule="auto"/>
        <w:jc w:val="center"/>
        <w:rPr>
          <w:b/>
        </w:rPr>
      </w:pPr>
    </w:p>
    <w:p w14:paraId="6FE20F28" w14:textId="77777777" w:rsidR="00881D21" w:rsidRPr="002E1CA4" w:rsidRDefault="00881D21">
      <w:pPr>
        <w:spacing w:line="480" w:lineRule="auto"/>
        <w:jc w:val="center"/>
        <w:rPr>
          <w:b/>
        </w:rPr>
      </w:pPr>
    </w:p>
    <w:p w14:paraId="4E6C5C87" w14:textId="77777777" w:rsidR="00881D21" w:rsidRPr="002E1CA4" w:rsidRDefault="00102041">
      <w:pPr>
        <w:jc w:val="center"/>
        <w:rPr>
          <w:b/>
        </w:rPr>
      </w:pPr>
      <w:r w:rsidRPr="002E1CA4">
        <w:rPr>
          <w:b/>
        </w:rPr>
        <w:t>CAPÍTULO 4</w:t>
      </w:r>
    </w:p>
    <w:p w14:paraId="2E268F92" w14:textId="77777777" w:rsidR="00881D21" w:rsidRPr="002E1CA4" w:rsidRDefault="00881D21"/>
    <w:p w14:paraId="185E966E" w14:textId="77777777" w:rsidR="00881D21" w:rsidRPr="002E1CA4" w:rsidRDefault="00102041">
      <w:pPr>
        <w:pBdr>
          <w:bottom w:val="single" w:sz="12" w:space="1" w:color="000000"/>
        </w:pBdr>
        <w:jc w:val="center"/>
        <w:rPr>
          <w:b/>
        </w:rPr>
      </w:pPr>
      <w:r w:rsidRPr="002E1CA4">
        <w:rPr>
          <w:b/>
        </w:rPr>
        <w:t>FORMULACIÓN DE OBJETIVOS</w:t>
      </w:r>
    </w:p>
    <w:p w14:paraId="1C035988" w14:textId="77777777" w:rsidR="00881D21" w:rsidRPr="002E1CA4" w:rsidRDefault="00881D21">
      <w:pPr>
        <w:spacing w:after="120" w:line="259" w:lineRule="auto"/>
        <w:ind w:right="49"/>
        <w:rPr>
          <w:color w:val="000000"/>
        </w:rPr>
      </w:pPr>
    </w:p>
    <w:p w14:paraId="478E77E5" w14:textId="3C3D947B" w:rsidR="00881D21" w:rsidRPr="002E1CA4" w:rsidRDefault="00382211" w:rsidP="1208528E">
      <w:pPr>
        <w:keepNext/>
        <w:keepLines/>
        <w:spacing w:after="117" w:line="259" w:lineRule="auto"/>
        <w:ind w:right="49" w:hanging="10"/>
        <w:jc w:val="center"/>
        <w:rPr>
          <w:b/>
          <w:bCs/>
          <w:color w:val="000000"/>
        </w:rPr>
      </w:pPr>
      <w:r w:rsidRPr="002E1CA4">
        <w:rPr>
          <w:b/>
          <w:bCs/>
          <w:color w:val="000000" w:themeColor="text1"/>
        </w:rPr>
        <w:t>4.1 Objetivo</w:t>
      </w:r>
      <w:r w:rsidR="00102041" w:rsidRPr="002E1CA4">
        <w:rPr>
          <w:b/>
          <w:bCs/>
          <w:color w:val="000000" w:themeColor="text1"/>
        </w:rPr>
        <w:t xml:space="preserve"> General </w:t>
      </w:r>
    </w:p>
    <w:p w14:paraId="3F9A5C97" w14:textId="77777777" w:rsidR="00881D21" w:rsidRPr="002E1CA4" w:rsidRDefault="00102041" w:rsidP="00556991">
      <w:pPr>
        <w:spacing w:after="115" w:line="360" w:lineRule="auto"/>
        <w:ind w:right="49"/>
        <w:jc w:val="both"/>
        <w:rPr>
          <w:color w:val="000000"/>
        </w:rPr>
      </w:pPr>
      <w:r w:rsidRPr="002E1CA4">
        <w:rPr>
          <w:b/>
          <w:color w:val="000000"/>
        </w:rPr>
        <w:t xml:space="preserve"> </w:t>
      </w:r>
    </w:p>
    <w:p w14:paraId="44B272EE" w14:textId="0B569B56" w:rsidR="00881D21" w:rsidRPr="002E1CA4" w:rsidRDefault="00556991" w:rsidP="02D13CB7">
      <w:pPr>
        <w:spacing w:after="115" w:line="360" w:lineRule="auto"/>
        <w:ind w:right="49" w:firstLine="567"/>
        <w:jc w:val="both"/>
        <w:rPr>
          <w:color w:val="000000"/>
        </w:rPr>
      </w:pPr>
      <w:r w:rsidRPr="002E1CA4">
        <w:rPr>
          <w:color w:val="000000" w:themeColor="text1"/>
        </w:rPr>
        <w:t xml:space="preserve">Desarrollar un enfoque de predicción basado en aprendizaje automático para estimar la probabilidad de que cada activo dentro de un conjunto </w:t>
      </w:r>
      <w:r w:rsidR="00382211" w:rsidRPr="002E1CA4">
        <w:rPr>
          <w:color w:val="000000" w:themeColor="text1"/>
        </w:rPr>
        <w:t>de acciones</w:t>
      </w:r>
      <w:r w:rsidRPr="002E1CA4">
        <w:rPr>
          <w:color w:val="000000" w:themeColor="text1"/>
        </w:rPr>
        <w:t xml:space="preserve"> y ETF</w:t>
      </w:r>
      <w:r w:rsidR="001D6781" w:rsidRPr="002E1CA4">
        <w:rPr>
          <w:color w:val="000000" w:themeColor="text1"/>
        </w:rPr>
        <w:t>s</w:t>
      </w:r>
      <w:r w:rsidRPr="002E1CA4">
        <w:rPr>
          <w:color w:val="000000" w:themeColor="text1"/>
        </w:rPr>
        <w:t xml:space="preserve"> del sector de semiconductores se clasifique en uno de los cinco quintiles de rendimiento relativo, y utilizar estas predicciones para tomar decisiones de inversión informadas, evaluando el rendimiento ajustado por riesgo de dichas decisiones.</w:t>
      </w:r>
      <w:r w:rsidR="00102041" w:rsidRPr="002E1CA4">
        <w:rPr>
          <w:color w:val="000000" w:themeColor="text1"/>
        </w:rPr>
        <w:t xml:space="preserve"> </w:t>
      </w:r>
    </w:p>
    <w:p w14:paraId="64E39723" w14:textId="77777777" w:rsidR="00556991" w:rsidRPr="002E1CA4" w:rsidRDefault="00556991" w:rsidP="00556991">
      <w:pPr>
        <w:spacing w:after="115" w:line="360" w:lineRule="auto"/>
        <w:ind w:right="49" w:firstLine="720"/>
        <w:jc w:val="both"/>
        <w:rPr>
          <w:color w:val="000000"/>
        </w:rPr>
      </w:pPr>
    </w:p>
    <w:p w14:paraId="0CF00036" w14:textId="4988F9D1" w:rsidR="00881D21" w:rsidRPr="002E1CA4" w:rsidRDefault="00382211" w:rsidP="02D13CB7">
      <w:pPr>
        <w:keepNext/>
        <w:keepLines/>
        <w:spacing w:after="117" w:line="259" w:lineRule="auto"/>
        <w:ind w:right="49" w:hanging="10"/>
        <w:jc w:val="center"/>
        <w:rPr>
          <w:b/>
          <w:color w:val="000000"/>
        </w:rPr>
      </w:pPr>
      <w:r w:rsidRPr="002E1CA4">
        <w:rPr>
          <w:b/>
          <w:bCs/>
          <w:color w:val="000000" w:themeColor="text1"/>
        </w:rPr>
        <w:t>4.2 Objetivos</w:t>
      </w:r>
      <w:r w:rsidR="00102041" w:rsidRPr="002E1CA4">
        <w:rPr>
          <w:b/>
          <w:bCs/>
          <w:color w:val="000000" w:themeColor="text1"/>
        </w:rPr>
        <w:t xml:space="preserve"> Específicos </w:t>
      </w:r>
    </w:p>
    <w:p w14:paraId="6E44D2BC" w14:textId="77777777" w:rsidR="00881D21" w:rsidRPr="002E1CA4" w:rsidRDefault="00102041" w:rsidP="001D6781">
      <w:pPr>
        <w:spacing w:after="120" w:line="259" w:lineRule="auto"/>
        <w:ind w:right="49"/>
        <w:jc w:val="both"/>
        <w:rPr>
          <w:color w:val="000000"/>
        </w:rPr>
      </w:pPr>
      <w:r w:rsidRPr="002E1CA4">
        <w:rPr>
          <w:color w:val="000000"/>
        </w:rPr>
        <w:t xml:space="preserve"> </w:t>
      </w:r>
    </w:p>
    <w:p w14:paraId="71369ED5" w14:textId="0BBAA408" w:rsidR="001D6781" w:rsidRPr="002E1CA4" w:rsidRDefault="002A2D8E" w:rsidP="006749BC">
      <w:pPr>
        <w:spacing w:line="360" w:lineRule="auto"/>
        <w:ind w:firstLine="567"/>
        <w:jc w:val="both"/>
        <w:rPr>
          <w:color w:val="000000"/>
        </w:rPr>
      </w:pPr>
      <w:r>
        <w:rPr>
          <w:color w:val="000000"/>
        </w:rPr>
        <w:t xml:space="preserve">Utilizar </w:t>
      </w:r>
      <w:proofErr w:type="spellStart"/>
      <w:r>
        <w:rPr>
          <w:color w:val="000000"/>
        </w:rPr>
        <w:t>Catboost</w:t>
      </w:r>
      <w:proofErr w:type="spellEnd"/>
      <w:r>
        <w:rPr>
          <w:color w:val="000000"/>
        </w:rPr>
        <w:t>…</w:t>
      </w:r>
    </w:p>
    <w:p w14:paraId="54AB2234" w14:textId="77777777" w:rsidR="003501F9" w:rsidRPr="002E1CA4" w:rsidRDefault="003501F9" w:rsidP="006749BC">
      <w:pPr>
        <w:spacing w:line="360" w:lineRule="auto"/>
        <w:ind w:firstLine="567"/>
        <w:jc w:val="both"/>
        <w:rPr>
          <w:color w:val="000000"/>
        </w:rPr>
      </w:pPr>
      <w:r w:rsidRPr="002E1CA4">
        <w:rPr>
          <w:color w:val="000000"/>
        </w:rPr>
        <w:t>Desarrollar una metodología para asignar pesos de inversión a cada activo basado en las probabilidades de clasificación en quintiles, determinando si invertir o no invertir en cada activo, con el fin de optimizar el rendimiento ajustado por riesgo.</w:t>
      </w:r>
    </w:p>
    <w:p w14:paraId="360A347B" w14:textId="77777777" w:rsidR="003501F9" w:rsidRPr="002E1CA4" w:rsidRDefault="003501F9" w:rsidP="006749BC">
      <w:pPr>
        <w:spacing w:line="360" w:lineRule="auto"/>
        <w:ind w:firstLine="567"/>
        <w:jc w:val="both"/>
        <w:rPr>
          <w:color w:val="000000"/>
        </w:rPr>
      </w:pPr>
    </w:p>
    <w:p w14:paraId="034AED59" w14:textId="444C168F" w:rsidR="00881D21" w:rsidRPr="002E1CA4" w:rsidRDefault="001D6781" w:rsidP="006749BC">
      <w:pPr>
        <w:spacing w:line="360" w:lineRule="auto"/>
        <w:ind w:firstLine="567"/>
        <w:jc w:val="both"/>
        <w:rPr>
          <w:color w:val="000000"/>
        </w:rPr>
      </w:pPr>
      <w:r w:rsidRPr="002E1CA4">
        <w:rPr>
          <w:color w:val="000000"/>
        </w:rPr>
        <w:t xml:space="preserve">Implementar un sistema de </w:t>
      </w:r>
      <w:r w:rsidRPr="002E1CA4">
        <w:rPr>
          <w:i/>
          <w:iCs/>
          <w:color w:val="000000"/>
        </w:rPr>
        <w:t>backtesting</w:t>
      </w:r>
      <w:r w:rsidRPr="002E1CA4">
        <w:rPr>
          <w:color w:val="000000"/>
        </w:rPr>
        <w:t xml:space="preserve"> para medir la efectividad de las decisiones de inversión basadas en las predicciones del modelo, utilizando el </w:t>
      </w:r>
      <w:r w:rsidRPr="002E1CA4">
        <w:rPr>
          <w:i/>
          <w:iCs/>
          <w:color w:val="000000"/>
        </w:rPr>
        <w:t xml:space="preserve">Ranked Probability Score </w:t>
      </w:r>
      <w:r w:rsidRPr="002E1CA4">
        <w:rPr>
          <w:color w:val="000000"/>
        </w:rPr>
        <w:t>(RPS) como métrica principal para evaluar la precisión y utilidad de las predicciones probabilísticas.</w:t>
      </w:r>
    </w:p>
    <w:p w14:paraId="6DD68DF0" w14:textId="77777777" w:rsidR="001D6781" w:rsidRPr="002E1CA4" w:rsidRDefault="001D6781" w:rsidP="001D6781">
      <w:pPr>
        <w:spacing w:line="480" w:lineRule="auto"/>
        <w:ind w:firstLine="720"/>
        <w:jc w:val="both"/>
        <w:rPr>
          <w:b/>
        </w:rPr>
      </w:pPr>
    </w:p>
    <w:p w14:paraId="6C80249B" w14:textId="77777777" w:rsidR="00881D21" w:rsidRPr="002E1CA4" w:rsidRDefault="00881D21">
      <w:pPr>
        <w:spacing w:line="480" w:lineRule="auto"/>
        <w:jc w:val="center"/>
        <w:rPr>
          <w:b/>
        </w:rPr>
      </w:pPr>
    </w:p>
    <w:p w14:paraId="0B092DC6" w14:textId="77777777" w:rsidR="00881D21" w:rsidRPr="002E1CA4" w:rsidRDefault="00881D21">
      <w:pPr>
        <w:spacing w:line="480" w:lineRule="auto"/>
        <w:jc w:val="center"/>
        <w:rPr>
          <w:b/>
        </w:rPr>
      </w:pPr>
    </w:p>
    <w:p w14:paraId="7A2DB8B4" w14:textId="77777777" w:rsidR="00881D21" w:rsidRPr="002E1CA4" w:rsidRDefault="00102041">
      <w:pPr>
        <w:jc w:val="center"/>
        <w:rPr>
          <w:b/>
        </w:rPr>
      </w:pPr>
      <w:r w:rsidRPr="002E1CA4">
        <w:rPr>
          <w:b/>
        </w:rPr>
        <w:t>CAPÍTULO 5</w:t>
      </w:r>
    </w:p>
    <w:p w14:paraId="4713BEF0" w14:textId="77777777" w:rsidR="00881D21" w:rsidRPr="002E1CA4" w:rsidRDefault="00881D21"/>
    <w:p w14:paraId="5B90C617" w14:textId="77777777" w:rsidR="00881D21" w:rsidRPr="002E1CA4" w:rsidRDefault="00102041">
      <w:pPr>
        <w:pBdr>
          <w:bottom w:val="single" w:sz="12" w:space="1" w:color="000000"/>
        </w:pBdr>
        <w:jc w:val="center"/>
        <w:rPr>
          <w:b/>
        </w:rPr>
      </w:pPr>
      <w:r w:rsidRPr="002E1CA4">
        <w:rPr>
          <w:b/>
        </w:rPr>
        <w:t>MARCO TEÓRICO</w:t>
      </w:r>
    </w:p>
    <w:p w14:paraId="5C0C5671" w14:textId="77777777" w:rsidR="00881D21" w:rsidRPr="002E1CA4" w:rsidRDefault="00881D21">
      <w:pPr>
        <w:jc w:val="center"/>
        <w:rPr>
          <w:b/>
        </w:rPr>
      </w:pPr>
    </w:p>
    <w:p w14:paraId="605D1114" w14:textId="77777777" w:rsidR="00881D21" w:rsidRPr="002E1CA4" w:rsidRDefault="00881D21"/>
    <w:p w14:paraId="54470A16" w14:textId="77777777" w:rsidR="00AC6717" w:rsidRPr="00C94468" w:rsidRDefault="00AC6717" w:rsidP="00AC6717">
      <w:pPr>
        <w:tabs>
          <w:tab w:val="left" w:pos="567"/>
        </w:tabs>
        <w:spacing w:after="160" w:line="360" w:lineRule="auto"/>
        <w:jc w:val="center"/>
      </w:pPr>
      <w:r w:rsidRPr="00C94468">
        <w:rPr>
          <w:b/>
        </w:rPr>
        <w:t>5.1. Teorías de Eficiencia y Adaptabilidad en Mercados Financieros</w:t>
      </w:r>
    </w:p>
    <w:p w14:paraId="445AD5B1" w14:textId="77777777" w:rsidR="00AC6717" w:rsidRPr="00C94468" w:rsidRDefault="00AC6717" w:rsidP="00AC6717">
      <w:pPr>
        <w:spacing w:after="160" w:line="360" w:lineRule="auto"/>
      </w:pPr>
      <w:r w:rsidRPr="00C94468">
        <w:t>5.1.1. Hipótesis del Mercado Eficiente (HME)</w:t>
      </w:r>
    </w:p>
    <w:p w14:paraId="6BC4D020" w14:textId="77777777" w:rsidR="00AC6717" w:rsidRPr="00C94468" w:rsidRDefault="00AC6717" w:rsidP="00AC6717">
      <w:pPr>
        <w:spacing w:after="160" w:line="360" w:lineRule="auto"/>
        <w:ind w:firstLine="567"/>
        <w:jc w:val="both"/>
      </w:pPr>
      <w:r w:rsidRPr="00C94468">
        <w:t>La Hipótesis del Mercado Eficiente (HME), propuesta por Eugene Fama en 1970, es un pilar fundamental en la teoría financiera moderna. Fama postula que "el precio del mercado sigue un camino aleatorio, es decir, los cambios futuros en el precio del mercado no pueden ser pronosticados utilizando la información existente"</w:t>
      </w:r>
      <w:r>
        <w:t xml:space="preserve">. </w:t>
      </w:r>
      <w:r w:rsidRPr="00C94468">
        <w:t>Esta hipótesis distingue tres formas de eficiencia de mercado:</w:t>
      </w:r>
    </w:p>
    <w:p w14:paraId="787139E2" w14:textId="77777777" w:rsidR="00AC6717" w:rsidRPr="00C94468" w:rsidRDefault="00AC6717" w:rsidP="00AC6717">
      <w:pPr>
        <w:numPr>
          <w:ilvl w:val="0"/>
          <w:numId w:val="9"/>
        </w:numPr>
        <w:spacing w:after="160" w:line="360" w:lineRule="auto"/>
        <w:jc w:val="both"/>
      </w:pPr>
      <w:r w:rsidRPr="00C94468">
        <w:t>Forma débil: Sostiene que "la información contenida en los precios pasados de una serie de tiempo ya está reflejada en el precio actual de las acciones y no ayuda a predecir los movimientos futuros de precios" (Fama, 1970).</w:t>
      </w:r>
    </w:p>
    <w:p w14:paraId="2AC68046" w14:textId="77777777" w:rsidR="00AC6717" w:rsidRPr="00C94468" w:rsidRDefault="00AC6717" w:rsidP="00AC6717">
      <w:pPr>
        <w:numPr>
          <w:ilvl w:val="0"/>
          <w:numId w:val="9"/>
        </w:numPr>
        <w:spacing w:after="160" w:line="360" w:lineRule="auto"/>
        <w:jc w:val="both"/>
      </w:pPr>
      <w:r w:rsidRPr="00C94468">
        <w:t>Forma semi-fuerte: Establece que "los precios de las acciones reflejan completamente toda la información públicamente disponible" (Fama, 1970). Como señalan Wang et al. (2011), "la información públicamente disponible también incluye datos sobre precios pasados, lo que significa que el análisis técnico tampoco conduciría a retornos esperados consistentemente más altos".</w:t>
      </w:r>
    </w:p>
    <w:p w14:paraId="1C33C9EF" w14:textId="77777777" w:rsidR="00AC6717" w:rsidRPr="00C94468" w:rsidRDefault="00AC6717" w:rsidP="00AC6717">
      <w:pPr>
        <w:numPr>
          <w:ilvl w:val="0"/>
          <w:numId w:val="9"/>
        </w:numPr>
        <w:spacing w:after="160" w:line="360" w:lineRule="auto"/>
        <w:jc w:val="both"/>
      </w:pPr>
      <w:r w:rsidRPr="00C94468">
        <w:t>Forma fuerte: Afirma que "toda la información, incluyendo la información privilegiada, se refleja en los precios de las acciones" (Fama, 1970).</w:t>
      </w:r>
    </w:p>
    <w:p w14:paraId="09D69AC3" w14:textId="77777777" w:rsidR="00AC6717" w:rsidRPr="00C94468" w:rsidRDefault="00AC6717" w:rsidP="00AC6717">
      <w:pPr>
        <w:spacing w:after="160" w:line="360" w:lineRule="auto"/>
        <w:ind w:firstLine="567"/>
        <w:jc w:val="both"/>
      </w:pPr>
      <w:r w:rsidRPr="00C94468">
        <w:t>Bajo estas premisas, "el análisis técnico no puede superar una estrategia de comprar y mantener en términos de retorno esperado" (Leigh et al., 2002).</w:t>
      </w:r>
    </w:p>
    <w:p w14:paraId="08FBE284" w14:textId="77777777" w:rsidR="00AC6717" w:rsidRPr="00C94468" w:rsidRDefault="00AC6717" w:rsidP="00AC6717">
      <w:pPr>
        <w:spacing w:after="160" w:line="360" w:lineRule="auto"/>
      </w:pPr>
      <w:r w:rsidRPr="00C94468">
        <w:t>5.1.2. Anomalías y Desafíos de la HME</w:t>
      </w:r>
    </w:p>
    <w:p w14:paraId="422D93DB" w14:textId="77777777" w:rsidR="00AC6717" w:rsidRPr="00C94468" w:rsidRDefault="00AC6717" w:rsidP="00AC6717">
      <w:pPr>
        <w:spacing w:after="160" w:line="360" w:lineRule="auto"/>
        <w:ind w:firstLine="567"/>
        <w:jc w:val="both"/>
      </w:pPr>
      <w:r w:rsidRPr="00C94468">
        <w:t>Con el tiempo, se han identificado numerosas anomalías que desafían la HME. Borovkova y Tsiamas (2019) señalan un "número creciente de cuestionamientos a la hipótesis del mercado eficiente y al hecho de que los valores están valorados racionalmente". Estas anomalías incluyen:</w:t>
      </w:r>
    </w:p>
    <w:p w14:paraId="698E1159" w14:textId="77777777" w:rsidR="00AC6717" w:rsidRPr="00C94468" w:rsidRDefault="00AC6717" w:rsidP="00AC6717">
      <w:pPr>
        <w:numPr>
          <w:ilvl w:val="0"/>
          <w:numId w:val="10"/>
        </w:numPr>
        <w:spacing w:after="160" w:line="360" w:lineRule="auto"/>
        <w:jc w:val="both"/>
        <w:rPr>
          <w:color w:val="000000" w:themeColor="text1"/>
        </w:rPr>
      </w:pPr>
      <w:r w:rsidRPr="00C94468">
        <w:t xml:space="preserve">"La sobrerreacción de los mercados financieros" </w:t>
      </w:r>
      <w:r w:rsidRPr="00C94468">
        <w:rPr>
          <w:color w:val="000000" w:themeColor="text1"/>
        </w:rPr>
        <w:t>(Bondt y Thaler, 1985)</w:t>
      </w:r>
    </w:p>
    <w:p w14:paraId="0A3C668A" w14:textId="77777777" w:rsidR="00AC6717" w:rsidRPr="00C94468" w:rsidRDefault="00AC6717" w:rsidP="00AC6717">
      <w:pPr>
        <w:numPr>
          <w:ilvl w:val="0"/>
          <w:numId w:val="10"/>
        </w:numPr>
        <w:spacing w:after="160" w:line="360" w:lineRule="auto"/>
        <w:jc w:val="both"/>
      </w:pPr>
      <w:r w:rsidRPr="00C94468">
        <w:t>"La existencia de momentum a corto plazo, reversión a largo plazo, y la alta volatilidad de los precios de los activos" (Daniel et al., 1998)</w:t>
      </w:r>
    </w:p>
    <w:p w14:paraId="4A36827D" w14:textId="77777777" w:rsidR="00AC6717" w:rsidRPr="00C94468" w:rsidRDefault="00AC6717" w:rsidP="00AC6717">
      <w:pPr>
        <w:spacing w:after="160" w:line="360" w:lineRule="auto"/>
        <w:ind w:firstLine="567"/>
        <w:jc w:val="both"/>
      </w:pPr>
      <w:r w:rsidRPr="00C94468">
        <w:lastRenderedPageBreak/>
        <w:t>Aunque algunos investigadores, como Fama (1998), argumentaron que "las sobre reacciones y las infra reacciones ocurren aleatoriamente y son igualmente frecuentes", persistieron "dudas de que un modelo basado en la racionalidad de los inversores pudiera acomodar las anomalías observadas" (Daniel et al., 1998).</w:t>
      </w:r>
    </w:p>
    <w:p w14:paraId="2838E4C1" w14:textId="32F2DA99" w:rsidR="00AC6717" w:rsidRPr="00C94468" w:rsidRDefault="00AC6717" w:rsidP="00AC6717">
      <w:pPr>
        <w:spacing w:after="160" w:line="360" w:lineRule="auto"/>
      </w:pPr>
      <w:r w:rsidRPr="00C94468">
        <w:t>5.1.3. Hipótesis de los Mercados Adaptativos (HMA)</w:t>
      </w:r>
    </w:p>
    <w:p w14:paraId="29AC96CF" w14:textId="77777777" w:rsidR="00AC6717" w:rsidRPr="00C94468" w:rsidRDefault="00AC6717" w:rsidP="00AC6717">
      <w:pPr>
        <w:spacing w:after="160" w:line="360" w:lineRule="auto"/>
        <w:ind w:firstLine="567"/>
        <w:jc w:val="both"/>
      </w:pPr>
      <w:r w:rsidRPr="00C94468">
        <w:t xml:space="preserve">Como respuesta a estas anomalías, </w:t>
      </w:r>
      <w:r w:rsidRPr="00C94468">
        <w:rPr>
          <w:color w:val="000000" w:themeColor="text1"/>
        </w:rPr>
        <w:t>Andrew Lo (2004)</w:t>
      </w:r>
      <w:r w:rsidRPr="00C94468">
        <w:t xml:space="preserve"> propuso la Hipótesis de los Mercados Adaptativos (HMA), que "aplica principios biológicos a las interacciones financieras". La HMA se presenta como "una alternativa evolutiva a la eficiencia del mercado" (Lo, 2004).</w:t>
      </w:r>
    </w:p>
    <w:p w14:paraId="5D223CBE" w14:textId="77777777" w:rsidR="00AC6717" w:rsidRPr="00C94468" w:rsidRDefault="00AC6717" w:rsidP="00AC6717">
      <w:pPr>
        <w:spacing w:after="160" w:line="360" w:lineRule="auto"/>
        <w:ind w:firstLine="567"/>
        <w:jc w:val="both"/>
      </w:pPr>
      <w:r w:rsidRPr="00C94468">
        <w:t>Lo (2004) argumenta que en la HMA, "los sesgos conductuales son abundantes y tienen sus orígenes en heurísticas adaptadas a contextos no financieros". Esta perspectiva sugiere que "la eficiencia del mercado no es constante, sino que fluctúa según las condiciones del entorno y la diversidad de participantes en el mercado" (Lo, 2004).</w:t>
      </w:r>
    </w:p>
    <w:p w14:paraId="2867D8BF" w14:textId="62330843" w:rsidR="000B3067" w:rsidRDefault="00AC6717" w:rsidP="000B3067">
      <w:pPr>
        <w:spacing w:after="160" w:line="360" w:lineRule="auto"/>
        <w:ind w:firstLine="284"/>
        <w:jc w:val="both"/>
      </w:pPr>
      <w:r w:rsidRPr="00C94468">
        <w:t>La HMA proporciona un marco para entender eventos como la caída del mercado en 1998, donde "el deseo de liquidez y seguridad por parte de cierta población de inversores superó a la población de fondos de cobertura que intentaban arbitrar tales preferencias" (Lo, 2004).</w:t>
      </w:r>
    </w:p>
    <w:p w14:paraId="4869B4D9" w14:textId="7243A6ED" w:rsidR="00AC6717" w:rsidRPr="00C94468" w:rsidRDefault="00AC6717" w:rsidP="00AC6717">
      <w:pPr>
        <w:spacing w:after="160" w:line="360" w:lineRule="auto"/>
      </w:pPr>
      <w:r w:rsidRPr="00C94468">
        <w:t>5.1.4. Implicaciones de la HMA en la Predicción de Rendimientos</w:t>
      </w:r>
    </w:p>
    <w:p w14:paraId="1A4BD568" w14:textId="77777777" w:rsidR="00AC6717" w:rsidRPr="00C94468" w:rsidRDefault="00AC6717" w:rsidP="00AC6717">
      <w:pPr>
        <w:spacing w:after="160" w:line="360" w:lineRule="auto"/>
        <w:ind w:firstLine="284"/>
        <w:jc w:val="both"/>
      </w:pPr>
      <w:r w:rsidRPr="00C94468">
        <w:t>La HMA tiene implicaciones significativas para la predicción de rendimientos y la gestión de carteras:</w:t>
      </w:r>
    </w:p>
    <w:p w14:paraId="6A46B1D3" w14:textId="77777777" w:rsidR="00AC6717" w:rsidRPr="00C94468" w:rsidRDefault="00AC6717" w:rsidP="00AC6717">
      <w:pPr>
        <w:numPr>
          <w:ilvl w:val="0"/>
          <w:numId w:val="11"/>
        </w:numPr>
        <w:spacing w:after="160" w:line="360" w:lineRule="auto"/>
        <w:jc w:val="both"/>
      </w:pPr>
      <w:r w:rsidRPr="00C94468">
        <w:t>La relación entre riesgo y recompensa probablemente no sea estable en el tiempo, "ya que está influenciada por las preferencias cambiantes de los participantes del mercado y factores institucionales" (Lo, 2004).</w:t>
      </w:r>
    </w:p>
    <w:p w14:paraId="3520CA96" w14:textId="77777777" w:rsidR="00AC6717" w:rsidRPr="00C94468" w:rsidRDefault="00AC6717" w:rsidP="00AC6717">
      <w:pPr>
        <w:numPr>
          <w:ilvl w:val="0"/>
          <w:numId w:val="11"/>
        </w:numPr>
        <w:spacing w:after="160" w:line="360" w:lineRule="auto"/>
        <w:jc w:val="both"/>
      </w:pPr>
      <w:r w:rsidRPr="00C94468">
        <w:t>"Las oportunidades de arbitraje existen periódicamente" (Lo, 2004). Estas oportunidades se crean y desaparecen continuamente a medida que el mercado evoluciona.</w:t>
      </w:r>
    </w:p>
    <w:p w14:paraId="4608BBA7" w14:textId="77777777" w:rsidR="00AC6717" w:rsidRPr="00C94468" w:rsidRDefault="00AC6717" w:rsidP="00AC6717">
      <w:pPr>
        <w:numPr>
          <w:ilvl w:val="0"/>
          <w:numId w:val="11"/>
        </w:numPr>
        <w:spacing w:after="160" w:line="360" w:lineRule="auto"/>
        <w:jc w:val="both"/>
      </w:pPr>
      <w:r w:rsidRPr="00C94468">
        <w:t xml:space="preserve">"Las estrategias de inversión experimentarán ciclos de rendimiento, funcionando bien en ciertos entornos y mal en otros" (Lo, 2004). Esta perspectiva contrasta </w:t>
      </w:r>
      <w:r w:rsidRPr="00C94468">
        <w:lastRenderedPageBreak/>
        <w:t>con la idea de la HME de que las estrategias exitosas serían rápidamente arbitradas hasta la irrelevancia.</w:t>
      </w:r>
    </w:p>
    <w:p w14:paraId="5813C35E" w14:textId="77777777" w:rsidR="00AC6717" w:rsidRPr="00C94468" w:rsidRDefault="00AC6717" w:rsidP="00AC6717">
      <w:pPr>
        <w:numPr>
          <w:ilvl w:val="0"/>
          <w:numId w:val="11"/>
        </w:numPr>
        <w:spacing w:after="160" w:line="360" w:lineRule="auto"/>
        <w:jc w:val="both"/>
      </w:pPr>
      <w:r w:rsidRPr="00C94468">
        <w:t>La innovación es crucial para la supervivencia en los mercados financieros. Lo argumenta que, "dado que la relación riesgo/recompensa varía con el tiempo, la adaptación a las condiciones cambiantes del mercado es esencial para mantener rendimientos consistentes" (Lo, 2004).</w:t>
      </w:r>
    </w:p>
    <w:p w14:paraId="093AD4DA" w14:textId="77777777" w:rsidR="00AC6717" w:rsidRPr="00C94468" w:rsidRDefault="00AC6717" w:rsidP="00AC6717">
      <w:pPr>
        <w:spacing w:after="160" w:line="360" w:lineRule="auto"/>
      </w:pPr>
      <w:r w:rsidRPr="00C94468">
        <w:t>5.1.5. Aplicación al Sector de Semiconductores</w:t>
      </w:r>
    </w:p>
    <w:p w14:paraId="310471A8" w14:textId="77777777" w:rsidR="00AC6717" w:rsidRPr="00C94468" w:rsidRDefault="00AC6717" w:rsidP="00AC6717">
      <w:pPr>
        <w:spacing w:after="160" w:line="360" w:lineRule="auto"/>
        <w:ind w:firstLine="567"/>
        <w:jc w:val="both"/>
      </w:pPr>
      <w:r w:rsidRPr="00C94468">
        <w:t>En el contexto del sector de semiconductores, la HMA ofrece un marco valioso para entender y predecir los rendimientos. La naturaleza cíclica y altamente tecnológica de la industria de semiconductores podría crear períodos de ineficiencia que los modelos adaptativos podrían explotar.</w:t>
      </w:r>
    </w:p>
    <w:p w14:paraId="1289184B" w14:textId="77777777" w:rsidR="00AC6717" w:rsidRPr="00C94468" w:rsidRDefault="00AC6717" w:rsidP="00AC6717">
      <w:pPr>
        <w:spacing w:after="160" w:line="360" w:lineRule="auto"/>
        <w:ind w:firstLine="567"/>
        <w:jc w:val="both"/>
      </w:pPr>
      <w:r w:rsidRPr="00C94468">
        <w:t>La aplicación de la HMA en este sector implica:</w:t>
      </w:r>
    </w:p>
    <w:p w14:paraId="3075BC0E" w14:textId="77777777" w:rsidR="00AC6717" w:rsidRPr="00C94468" w:rsidRDefault="00AC6717" w:rsidP="00AC6717">
      <w:pPr>
        <w:numPr>
          <w:ilvl w:val="0"/>
          <w:numId w:val="12"/>
        </w:numPr>
        <w:spacing w:after="160" w:line="360" w:lineRule="auto"/>
        <w:jc w:val="both"/>
      </w:pPr>
      <w:r w:rsidRPr="00C94468">
        <w:t>Reconocer que la eficiencia del mercado de semiconductores puede variar con el tiempo, influenciada por factores como los ciclos de innovación tecnológica, las dinámicas de oferta y demanda, y las políticas comerciales globales.</w:t>
      </w:r>
    </w:p>
    <w:p w14:paraId="2FBC3184" w14:textId="77777777" w:rsidR="00AC6717" w:rsidRPr="00C94468" w:rsidRDefault="00AC6717" w:rsidP="00AC6717">
      <w:pPr>
        <w:numPr>
          <w:ilvl w:val="0"/>
          <w:numId w:val="12"/>
        </w:numPr>
        <w:spacing w:after="160" w:line="360" w:lineRule="auto"/>
        <w:jc w:val="both"/>
      </w:pPr>
      <w:r w:rsidRPr="00C94468">
        <w:t>Desarrollar modelos de predicción que puedan adaptarse rápidamente a los cambios en las dinámicas del mercado y las tendencias tecnológicas.</w:t>
      </w:r>
    </w:p>
    <w:p w14:paraId="61C452EB" w14:textId="77777777" w:rsidR="00AC6717" w:rsidRPr="00C94468" w:rsidRDefault="00AC6717" w:rsidP="00AC6717">
      <w:pPr>
        <w:numPr>
          <w:ilvl w:val="0"/>
          <w:numId w:val="12"/>
        </w:numPr>
        <w:spacing w:after="160" w:line="360" w:lineRule="auto"/>
        <w:jc w:val="both"/>
      </w:pPr>
      <w:r w:rsidRPr="00C94468">
        <w:t>Considerar que las estrategias de inversión en semiconductores pueden tener ciclos de rendimiento, siendo más efectivas en ciertos entornos de mercado que en otros.</w:t>
      </w:r>
    </w:p>
    <w:p w14:paraId="43ADE387" w14:textId="77777777" w:rsidR="00AC6717" w:rsidRPr="00C94468" w:rsidRDefault="00AC6717" w:rsidP="00AC6717">
      <w:pPr>
        <w:numPr>
          <w:ilvl w:val="0"/>
          <w:numId w:val="12"/>
        </w:numPr>
        <w:spacing w:after="160" w:line="360" w:lineRule="auto"/>
        <w:jc w:val="both"/>
      </w:pPr>
      <w:r w:rsidRPr="00C94468">
        <w:t>Enfatizar la importancia de la innovación continua en las estrategias de inversión, dada la naturaleza altamente innovadora del sector de semiconductores.</w:t>
      </w:r>
    </w:p>
    <w:p w14:paraId="00FE89F0" w14:textId="77777777" w:rsidR="00AC6717" w:rsidRDefault="00AC6717" w:rsidP="00AC6717">
      <w:pPr>
        <w:spacing w:line="360" w:lineRule="auto"/>
      </w:pPr>
    </w:p>
    <w:p w14:paraId="19F052F6" w14:textId="77777777" w:rsidR="000B3067" w:rsidRDefault="000B3067" w:rsidP="00AC6717">
      <w:pPr>
        <w:spacing w:line="360" w:lineRule="auto"/>
        <w:jc w:val="center"/>
        <w:rPr>
          <w:b/>
        </w:rPr>
      </w:pPr>
    </w:p>
    <w:p w14:paraId="4F1F49C5" w14:textId="77777777" w:rsidR="000B3067" w:rsidRDefault="000B3067" w:rsidP="00AC6717">
      <w:pPr>
        <w:spacing w:line="360" w:lineRule="auto"/>
        <w:jc w:val="center"/>
        <w:rPr>
          <w:b/>
        </w:rPr>
      </w:pPr>
    </w:p>
    <w:p w14:paraId="74F045DA" w14:textId="77777777" w:rsidR="000B3067" w:rsidRDefault="000B3067" w:rsidP="00AC6717">
      <w:pPr>
        <w:spacing w:line="360" w:lineRule="auto"/>
        <w:jc w:val="center"/>
        <w:rPr>
          <w:b/>
        </w:rPr>
      </w:pPr>
    </w:p>
    <w:p w14:paraId="70F72370" w14:textId="77777777" w:rsidR="000B3067" w:rsidRDefault="000B3067" w:rsidP="00AC6717">
      <w:pPr>
        <w:spacing w:line="360" w:lineRule="auto"/>
        <w:jc w:val="center"/>
        <w:rPr>
          <w:b/>
        </w:rPr>
      </w:pPr>
    </w:p>
    <w:p w14:paraId="20FD28C2" w14:textId="77777777" w:rsidR="000B3067" w:rsidRDefault="000B3067" w:rsidP="00AC6717">
      <w:pPr>
        <w:spacing w:line="360" w:lineRule="auto"/>
        <w:jc w:val="center"/>
        <w:rPr>
          <w:b/>
        </w:rPr>
      </w:pPr>
    </w:p>
    <w:p w14:paraId="3FFE7223" w14:textId="541767FD" w:rsidR="00AC6717" w:rsidRDefault="00AC6717" w:rsidP="00AC6717">
      <w:pPr>
        <w:spacing w:line="360" w:lineRule="auto"/>
        <w:jc w:val="center"/>
        <w:rPr>
          <w:b/>
        </w:rPr>
      </w:pPr>
      <w:r w:rsidRPr="009A4032">
        <w:rPr>
          <w:b/>
        </w:rPr>
        <w:t>5.2. Análisis Cuantitativo en el Mercado de Semiconductores</w:t>
      </w:r>
    </w:p>
    <w:p w14:paraId="393184F2" w14:textId="77777777" w:rsidR="000B3067" w:rsidRPr="00AF4532" w:rsidRDefault="000B3067" w:rsidP="00AC6717">
      <w:pPr>
        <w:spacing w:line="360" w:lineRule="auto"/>
        <w:jc w:val="center"/>
        <w:rPr>
          <w:b/>
        </w:rPr>
      </w:pPr>
    </w:p>
    <w:p w14:paraId="61537495" w14:textId="4760E15A" w:rsidR="000B3067" w:rsidRDefault="00AC6717" w:rsidP="00AC6717">
      <w:pPr>
        <w:spacing w:line="360" w:lineRule="auto"/>
      </w:pPr>
      <w:r w:rsidRPr="009A4032">
        <w:lastRenderedPageBreak/>
        <w:t xml:space="preserve">5.2.1. Indicadores Técnicos Relevantes (RSI, Volatilidad) </w:t>
      </w:r>
    </w:p>
    <w:p w14:paraId="4E284EFB" w14:textId="77777777" w:rsidR="000B3067" w:rsidRDefault="000B3067" w:rsidP="00AC6717">
      <w:pPr>
        <w:spacing w:line="360" w:lineRule="auto"/>
      </w:pPr>
    </w:p>
    <w:p w14:paraId="45A8A80C" w14:textId="5DEE502D" w:rsidR="000B3067" w:rsidRDefault="00AC6717" w:rsidP="000B3067">
      <w:pPr>
        <w:spacing w:line="360" w:lineRule="auto"/>
        <w:ind w:firstLine="567"/>
        <w:jc w:val="both"/>
      </w:pPr>
      <w:r w:rsidRPr="00760357">
        <w:t>El análisis técnico es una metodología ampliamente utilizada en los mercados financieros para predecir movimientos futuros de precios basándose en datos históricos. Esta aproximación se fundamenta en la premisa de que los patrones de precios pasados tienden a repetirse y, por lo tanto, pueden utilizarse para anticipar movimientos futuros (</w:t>
      </w:r>
      <w:proofErr w:type="spellStart"/>
      <w:r w:rsidRPr="00760357">
        <w:t>Ţăran-Moroşan</w:t>
      </w:r>
      <w:proofErr w:type="spellEnd"/>
      <w:r w:rsidRPr="00760357">
        <w:t>, 2011).</w:t>
      </w:r>
    </w:p>
    <w:p w14:paraId="3EDFFDB7" w14:textId="77777777" w:rsidR="000B3067" w:rsidRPr="00760357" w:rsidRDefault="000B3067" w:rsidP="000B3067">
      <w:pPr>
        <w:spacing w:line="360" w:lineRule="auto"/>
        <w:ind w:firstLine="567"/>
        <w:jc w:val="both"/>
      </w:pPr>
    </w:p>
    <w:p w14:paraId="4D0E5CD3" w14:textId="77777777" w:rsidR="00AC6717" w:rsidRDefault="00AC6717" w:rsidP="00AC6717">
      <w:pPr>
        <w:spacing w:line="360" w:lineRule="auto"/>
        <w:ind w:firstLine="567"/>
        <w:jc w:val="both"/>
      </w:pPr>
      <w:r w:rsidRPr="00760357">
        <w:t xml:space="preserve">Uno de los indicadores técnicos más conocidos y utilizados es el Índice de Fuerza Relativa (RSI, por sus siglas en inglés). El RSI, desarrollado originalmente por Welles Wilder Jr. en 1978, es un oscilador de momentum que mide la velocidad y el cambio de los movimientos de precios. </w:t>
      </w:r>
      <w:proofErr w:type="spellStart"/>
      <w:r w:rsidRPr="00760357">
        <w:t>Ţăran-Moroşan</w:t>
      </w:r>
      <w:proofErr w:type="spellEnd"/>
      <w:r w:rsidRPr="00760357">
        <w:t xml:space="preserve"> (2011) describe el RSI clásico como una comparación entre el aumento de los precios de cierre y sus caídas dentro de un período de tiempo determinado, típicamente 14 días.</w:t>
      </w:r>
    </w:p>
    <w:p w14:paraId="5360EA5F" w14:textId="77777777" w:rsidR="000B3067" w:rsidRDefault="000B3067" w:rsidP="00AC6717">
      <w:pPr>
        <w:spacing w:line="360" w:lineRule="auto"/>
        <w:ind w:firstLine="567"/>
        <w:jc w:val="both"/>
      </w:pPr>
    </w:p>
    <w:p w14:paraId="3B0BEAF0" w14:textId="77777777" w:rsidR="00AC6717" w:rsidRPr="00976DC1" w:rsidRDefault="00AC6717" w:rsidP="00AC6717">
      <w:pPr>
        <w:spacing w:line="360" w:lineRule="auto"/>
        <w:ind w:firstLine="567"/>
        <w:jc w:val="both"/>
      </w:pPr>
      <w:r w:rsidRPr="00976DC1">
        <w:t>El RSI se calcula utilizando la siguiente fórmula:</w:t>
      </w:r>
    </w:p>
    <w:p w14:paraId="5340BC53" w14:textId="77777777" w:rsidR="00AC6717" w:rsidRPr="00976DC1" w:rsidRDefault="00AC6717" w:rsidP="00AC6717">
      <w:pPr>
        <w:spacing w:line="360" w:lineRule="auto"/>
        <w:rPr>
          <w:rFonts w:eastAsiaTheme="minorEastAsia"/>
        </w:rPr>
      </w:pPr>
      <m:oMathPara>
        <m:oMath>
          <m:r>
            <m:rPr>
              <m:sty m:val="p"/>
            </m:rPr>
            <w:rPr>
              <w:rFonts w:ascii="Cambria Math" w:hAnsi="Cambria Math"/>
            </w:rPr>
            <m:t>RSI</m:t>
          </m:r>
          <m:r>
            <w:rPr>
              <w:rFonts w:ascii="Cambria Math" w:hAnsi="Cambria Math"/>
            </w:rPr>
            <m:t>=100-</m:t>
          </m:r>
          <m:f>
            <m:fPr>
              <m:ctrlPr>
                <w:rPr>
                  <w:rFonts w:ascii="Cambria Math" w:hAnsi="Cambria Math"/>
                </w:rPr>
              </m:ctrlPr>
            </m:fPr>
            <m:num>
              <m:r>
                <w:rPr>
                  <w:rFonts w:ascii="Cambria Math" w:hAnsi="Cambria Math"/>
                </w:rPr>
                <m:t>100</m:t>
              </m:r>
            </m:num>
            <m:den>
              <m:r>
                <w:rPr>
                  <w:rFonts w:ascii="Cambria Math" w:hAnsi="Cambria Math"/>
                </w:rPr>
                <m:t>1+RS</m:t>
              </m:r>
            </m:den>
          </m:f>
        </m:oMath>
      </m:oMathPara>
    </w:p>
    <w:p w14:paraId="75858C66" w14:textId="77777777" w:rsidR="00AC6717" w:rsidRPr="00976DC1" w:rsidRDefault="00AC6717" w:rsidP="00AC6717">
      <w:pPr>
        <w:spacing w:line="360" w:lineRule="auto"/>
        <w:ind w:firstLine="567"/>
        <w:rPr>
          <w:rFonts w:eastAsiaTheme="minorEastAsia"/>
        </w:rPr>
      </w:pPr>
      <w:r w:rsidRPr="00976DC1">
        <w:t>Donde RS es la fuerza relativa, calculada como:</w:t>
      </w:r>
    </w:p>
    <w:p w14:paraId="1F681380" w14:textId="77777777" w:rsidR="00AC6717" w:rsidRPr="00976DC1" w:rsidRDefault="00AC6717" w:rsidP="00AC6717">
      <w:pPr>
        <w:spacing w:line="360" w:lineRule="auto"/>
        <w:rPr>
          <w:rFonts w:eastAsiaTheme="minorEastAsia"/>
        </w:rPr>
      </w:pPr>
      <m:oMathPara>
        <m:oMath>
          <m:r>
            <m:rPr>
              <m:sty m:val="p"/>
            </m:rPr>
            <w:rPr>
              <w:rFonts w:ascii="Cambria Math" w:hAnsi="Cambria Math"/>
            </w:rPr>
            <m:t>RS</m:t>
          </m:r>
          <m:r>
            <w:rPr>
              <w:rFonts w:ascii="Cambria Math" w:hAnsi="Cambria Math"/>
            </w:rPr>
            <m:t>=</m:t>
          </m:r>
          <m:f>
            <m:fPr>
              <m:ctrlPr>
                <w:rPr>
                  <w:rFonts w:ascii="Cambria Math" w:hAnsi="Cambria Math"/>
                </w:rPr>
              </m:ctrlPr>
            </m:fPr>
            <m:num>
              <m:r>
                <w:rPr>
                  <w:rFonts w:ascii="Cambria Math" w:hAnsi="Cambria Math"/>
                </w:rPr>
                <m:t>EMA(U)</m:t>
              </m:r>
            </m:num>
            <m:den>
              <m:r>
                <w:rPr>
                  <w:rFonts w:ascii="Cambria Math" w:hAnsi="Cambria Math"/>
                </w:rPr>
                <m:t>EMA(D)</m:t>
              </m:r>
            </m:den>
          </m:f>
        </m:oMath>
      </m:oMathPara>
    </w:p>
    <w:p w14:paraId="76C0E54C" w14:textId="77777777" w:rsidR="00AC6717" w:rsidRPr="00976DC1" w:rsidRDefault="00AC6717" w:rsidP="00AC6717">
      <w:pPr>
        <w:spacing w:line="360" w:lineRule="auto"/>
      </w:pPr>
    </w:p>
    <w:p w14:paraId="61297F9B" w14:textId="77777777" w:rsidR="00AC6717" w:rsidRDefault="00AC6717" w:rsidP="00AC6717">
      <w:pPr>
        <w:spacing w:line="360" w:lineRule="auto"/>
        <w:ind w:firstLine="567"/>
        <w:jc w:val="both"/>
      </w:pPr>
      <w:r w:rsidRPr="00AF4532">
        <w:t>EMA(U) es la media móvil exponencial de los aumentos de precios y EMA(D) es la media móvil exponencial de las disminuciones de precios en el período considerado. Esta fórmula permite que el RSI oscile entre 0 y 100, proporcionando una medida normalizada de la fuerza relativa del movimiento de precios (</w:t>
      </w:r>
      <w:proofErr w:type="spellStart"/>
      <w:r w:rsidRPr="00AF4532">
        <w:t>Ţăran-Moroşan</w:t>
      </w:r>
      <w:proofErr w:type="spellEnd"/>
      <w:r w:rsidRPr="00AF4532">
        <w:t>, 2011).</w:t>
      </w:r>
    </w:p>
    <w:p w14:paraId="12936BEE" w14:textId="77777777" w:rsidR="000B3067" w:rsidRPr="00AF4532" w:rsidRDefault="000B3067" w:rsidP="00AC6717">
      <w:pPr>
        <w:spacing w:line="360" w:lineRule="auto"/>
        <w:ind w:firstLine="567"/>
        <w:jc w:val="both"/>
      </w:pPr>
    </w:p>
    <w:p w14:paraId="101145D6" w14:textId="77777777" w:rsidR="00AC6717" w:rsidRPr="00AF4532" w:rsidRDefault="00AC6717" w:rsidP="00AC6717">
      <w:pPr>
        <w:spacing w:line="360" w:lineRule="auto"/>
        <w:ind w:firstLine="567"/>
        <w:jc w:val="both"/>
      </w:pPr>
      <w:r w:rsidRPr="00AF4532">
        <w:t>Tradicionalmente, se considera que valores del RSI por encima de 70 indican condiciones de sobrecompra, mientras que valores por debajo de 30 sugieren condiciones de sobreventa. Estos niveles se utilizan comúnmente como señales para vender o comprar, respectivamente. Sin embargo, en mercados altamente volátiles, algunos analistas técnicos recomiendan utilizar niveles de 80 y 20 como señales más conservadoras (</w:t>
      </w:r>
      <w:proofErr w:type="spellStart"/>
      <w:r w:rsidRPr="00AF4532">
        <w:t>Ţăran-Moroşan</w:t>
      </w:r>
      <w:proofErr w:type="spellEnd"/>
      <w:r w:rsidRPr="00AF4532">
        <w:t>, 2011).</w:t>
      </w:r>
    </w:p>
    <w:p w14:paraId="6DCC8CA3" w14:textId="3B104265" w:rsidR="000B3067" w:rsidRDefault="00AC6717" w:rsidP="000B3067">
      <w:pPr>
        <w:spacing w:line="360" w:lineRule="auto"/>
        <w:ind w:firstLine="567"/>
        <w:jc w:val="both"/>
      </w:pPr>
      <w:proofErr w:type="spellStart"/>
      <w:r w:rsidRPr="00AF4532">
        <w:t>Gumparthi</w:t>
      </w:r>
      <w:proofErr w:type="spellEnd"/>
      <w:r w:rsidRPr="00AF4532">
        <w:t xml:space="preserve"> et al. (2017) amplían esta interpretación, señalando que el RSI puede ser una herramienta poderosa para desarrollar estrategias de trading efectivas y </w:t>
      </w:r>
      <w:r w:rsidRPr="00AF4532">
        <w:lastRenderedPageBreak/>
        <w:t>construir portafolios óptimos. En su estudio, utilizaron RSI de 14 días para inversiones a corto plazo y RSI de 56 días para inversiones a largo plazo, aplicados a una selección de acciones del mercado indio.</w:t>
      </w:r>
    </w:p>
    <w:p w14:paraId="4E13F0A6" w14:textId="77777777" w:rsidR="000B3067" w:rsidRDefault="000B3067" w:rsidP="000B3067">
      <w:pPr>
        <w:spacing w:line="360" w:lineRule="auto"/>
        <w:ind w:firstLine="567"/>
        <w:jc w:val="both"/>
      </w:pPr>
    </w:p>
    <w:p w14:paraId="7A52FA47" w14:textId="77777777" w:rsidR="00AC6717" w:rsidRPr="00AF4532" w:rsidRDefault="00AC6717" w:rsidP="00AC6717">
      <w:pPr>
        <w:spacing w:after="160" w:line="360" w:lineRule="auto"/>
        <w:ind w:firstLine="567"/>
        <w:jc w:val="both"/>
      </w:pPr>
      <w:r w:rsidRPr="00AF4532">
        <w:t>Los autores encontraron que el RSI puede ser efectivamente utilizado tanto para inversiones a corto como a largo plazo. Observaron que el RSI predice con precisión las señales de compra y venta para diferentes acciones en la mayoría de los casos, y que puede predecir con éxito la tendencia futura de las acciones (</w:t>
      </w:r>
      <w:proofErr w:type="spellStart"/>
      <w:r w:rsidRPr="00AF4532">
        <w:t>Gumparthi</w:t>
      </w:r>
      <w:proofErr w:type="spellEnd"/>
      <w:r w:rsidRPr="00AF4532">
        <w:t xml:space="preserve"> et al., 2017).</w:t>
      </w:r>
    </w:p>
    <w:p w14:paraId="5C586716" w14:textId="77777777" w:rsidR="00AC6717" w:rsidRPr="00AF4532" w:rsidRDefault="00AC6717" w:rsidP="00AC6717">
      <w:pPr>
        <w:spacing w:after="160" w:line="360" w:lineRule="auto"/>
        <w:ind w:firstLine="567"/>
        <w:jc w:val="both"/>
      </w:pPr>
      <w:r w:rsidRPr="00AF4532">
        <w:t>Es importante destacar que el RSI no debe utilizarse de forma aislada, sino en combinación con otros indicadores técnicos y análisis fundamentales. Por ejemplo, la convergencia/divergencia del RSI con el precio puede proporcionar señales adicionales. Una divergencia alcista ocurre cuando el precio marca mínimos más bajos, pero el RSI marca mínimos más altos, sugiriendo un posible cambio de tendencia alcista.</w:t>
      </w:r>
    </w:p>
    <w:p w14:paraId="755ABD45" w14:textId="2A763868" w:rsidR="00AC6717" w:rsidRDefault="00AC6717" w:rsidP="000B3067">
      <w:pPr>
        <w:spacing w:line="360" w:lineRule="auto"/>
        <w:ind w:firstLine="567"/>
        <w:jc w:val="both"/>
      </w:pPr>
      <w:r w:rsidRPr="00AF4532">
        <w:t>Además, el RSI puede adaptarse a diferentes condiciones de mercado ajustando su período. Mientras que el período estándar de 14 días es común, períodos más cortos (por ejemplo, 9 días) pueden ser más sensibles a cambios de precios a corto plazo, mientras que períodos más largos (por ejemplo, 25 días) pueden proporcionar una visión más suavizada de la tendencia.</w:t>
      </w:r>
    </w:p>
    <w:p w14:paraId="351BFBC6" w14:textId="77777777" w:rsidR="00AC6717" w:rsidRPr="00E15ED3" w:rsidRDefault="00AC6717" w:rsidP="00AC6717">
      <w:pPr>
        <w:spacing w:line="360" w:lineRule="auto"/>
        <w:ind w:firstLine="567"/>
        <w:jc w:val="both"/>
      </w:pPr>
      <w:r w:rsidRPr="00E15ED3">
        <w:t xml:space="preserve">La volatilidad es </w:t>
      </w:r>
      <w:r>
        <w:t>otro</w:t>
      </w:r>
      <w:r w:rsidRPr="00E15ED3">
        <w:t xml:space="preserve"> indicador técnico fundamental en el análisis de mercados financieros. De Mattos Neto et al. (2011) la definen como "una medida estadística de la desviación o dispersión de los rendimientos para una acción o índice de mercado dado". Los autores señalan que cuanto mayor es la volatilidad, más riesgosa se considera la acción.</w:t>
      </w:r>
    </w:p>
    <w:p w14:paraId="0D96B093" w14:textId="77777777" w:rsidR="00AC6717" w:rsidRDefault="00AC6717" w:rsidP="00AC6717">
      <w:pPr>
        <w:spacing w:line="360" w:lineRule="auto"/>
        <w:ind w:firstLine="567"/>
        <w:jc w:val="both"/>
      </w:pPr>
      <w:r w:rsidRPr="00E15ED3">
        <w:t>De Mattos Neto et al. (2011) proponen calcular la volatilidad como la media de las diferencias absolutas entre los rendimientos:</w:t>
      </w:r>
    </w:p>
    <w:p w14:paraId="6900C27A" w14:textId="77777777" w:rsidR="00AC6717" w:rsidRDefault="00AC6717" w:rsidP="00AC6717">
      <w:pPr>
        <w:spacing w:line="360" w:lineRule="auto"/>
        <w:ind w:firstLine="567"/>
        <w:jc w:val="center"/>
      </w:pPr>
      <w:r>
        <w:rPr>
          <w:noProof/>
        </w:rPr>
        <w:drawing>
          <wp:inline distT="0" distB="0" distL="0" distR="0" wp14:anchorId="0F1A7B63" wp14:editId="05FC3E70">
            <wp:extent cx="2767240" cy="595188"/>
            <wp:effectExtent l="0" t="0" r="1905" b="1905"/>
            <wp:docPr id="894838241" name="Picture 5"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66319" name="Picture 1" descr="A black text on a white background&#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79098" cy="619247"/>
                    </a:xfrm>
                    <a:prstGeom prst="rect">
                      <a:avLst/>
                    </a:prstGeom>
                  </pic:spPr>
                </pic:pic>
              </a:graphicData>
            </a:graphic>
          </wp:inline>
        </w:drawing>
      </w:r>
    </w:p>
    <w:p w14:paraId="5D31C2AC" w14:textId="77777777" w:rsidR="00AC6717" w:rsidRPr="0067085D" w:rsidRDefault="00AC6717" w:rsidP="00AC6717">
      <w:pPr>
        <w:spacing w:line="360" w:lineRule="auto"/>
        <w:ind w:firstLine="567"/>
        <w:jc w:val="both"/>
      </w:pPr>
      <w:r w:rsidRPr="0067085D">
        <w:t xml:space="preserve">donde n es el número de observaciones en la ventana de tiempo T, S(t) es el valor del índice de mercado en el tiempo t, y </w:t>
      </w:r>
      <w:proofErr w:type="spellStart"/>
      <w:r w:rsidRPr="0067085D">
        <w:t>Δt</w:t>
      </w:r>
      <w:proofErr w:type="spellEnd"/>
      <w:r w:rsidRPr="0067085D">
        <w:t xml:space="preserve"> es el intervalo de tiempo (en este caso, 1 día).</w:t>
      </w:r>
    </w:p>
    <w:p w14:paraId="59062017" w14:textId="77777777" w:rsidR="00AC6717" w:rsidRDefault="00AC6717" w:rsidP="00AC6717">
      <w:pPr>
        <w:spacing w:line="360" w:lineRule="auto"/>
        <w:ind w:firstLine="567"/>
        <w:jc w:val="both"/>
      </w:pPr>
      <w:r w:rsidRPr="0067085D">
        <w:t xml:space="preserve">Los autores destacan que esta ecuación representa el promedio de n valores de datos y puede referirse como el promedio de la muestra para la escala n. Si n es pequeño, el promedio es más sensible a los datos de alta frecuencia. Si n es grande, el </w:t>
      </w:r>
      <w:r w:rsidRPr="0067085D">
        <w:lastRenderedPageBreak/>
        <w:t>promedio es más sensible a los datos de baja frecuencia. Esta escala n puede variar desde 1 hasta el número máximo de observaciones de la serie temporal.</w:t>
      </w:r>
    </w:p>
    <w:p w14:paraId="289ECF14" w14:textId="77777777" w:rsidR="000B3067" w:rsidRPr="0067085D" w:rsidRDefault="000B3067" w:rsidP="00AC6717">
      <w:pPr>
        <w:spacing w:line="360" w:lineRule="auto"/>
        <w:ind w:firstLine="567"/>
        <w:jc w:val="both"/>
      </w:pPr>
    </w:p>
    <w:p w14:paraId="5B0A09DD" w14:textId="77777777" w:rsidR="00AC6717" w:rsidRDefault="00AC6717" w:rsidP="00AC6717">
      <w:pPr>
        <w:spacing w:line="360" w:lineRule="auto"/>
        <w:ind w:firstLine="567"/>
        <w:jc w:val="both"/>
      </w:pPr>
      <w:r w:rsidRPr="0067085D">
        <w:t>En su estudio, De Mattos Neto et al. (2011) analizan la dinámica de la volatilidad de los índices del mercado mundial utilizando una ventana de tiempo de dos años. Los autores descubren que la función de densidad de probabilidad</w:t>
      </w:r>
      <w:r>
        <w:t xml:space="preserve"> </w:t>
      </w:r>
      <w:r w:rsidRPr="0067085D">
        <w:t>de la volatilidad se ajusta mejor mediante una función exponencial que mediante leyes de potencia</w:t>
      </w:r>
      <w:r>
        <w:t>.</w:t>
      </w:r>
    </w:p>
    <w:p w14:paraId="5CA38F77" w14:textId="77777777" w:rsidR="000B3067" w:rsidRPr="0067085D" w:rsidRDefault="000B3067" w:rsidP="00AC6717">
      <w:pPr>
        <w:spacing w:line="360" w:lineRule="auto"/>
        <w:ind w:firstLine="567"/>
        <w:jc w:val="both"/>
      </w:pPr>
    </w:p>
    <w:p w14:paraId="2B2958A0" w14:textId="77777777" w:rsidR="00AC6717" w:rsidRDefault="00AC6717" w:rsidP="00AC6717">
      <w:pPr>
        <w:spacing w:line="360" w:lineRule="auto"/>
        <w:ind w:firstLine="567"/>
        <w:jc w:val="both"/>
      </w:pPr>
      <w:r w:rsidRPr="0067085D">
        <w:t>Además, los investigadores exploran una relación entre la volatilidad de los mercados y el coeficiente de la función exponencial basada en la teoría de gases ideales de Maxwell-Boltzmann. Los resultados muestran una relación inversa entre la volatilidad y el coeficiente de la función exponencial:</w:t>
      </w:r>
    </w:p>
    <w:p w14:paraId="6C39B6D5" w14:textId="77777777" w:rsidR="00AC6717" w:rsidRDefault="00AC6717" w:rsidP="00AC6717">
      <w:pPr>
        <w:spacing w:line="360" w:lineRule="auto"/>
        <w:ind w:firstLine="567"/>
        <w:jc w:val="center"/>
      </w:pPr>
      <w:r>
        <w:rPr>
          <w:noProof/>
        </w:rPr>
        <w:drawing>
          <wp:inline distT="0" distB="0" distL="0" distR="0" wp14:anchorId="38F40E61" wp14:editId="05D861DA">
            <wp:extent cx="2325496" cy="517469"/>
            <wp:effectExtent l="0" t="0" r="0" b="3810"/>
            <wp:docPr id="1863550858" name="Picture 6" descr="A black text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03185" name="Picture 3" descr="A black text with black letter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79763" cy="551796"/>
                    </a:xfrm>
                    <a:prstGeom prst="rect">
                      <a:avLst/>
                    </a:prstGeom>
                  </pic:spPr>
                </pic:pic>
              </a:graphicData>
            </a:graphic>
          </wp:inline>
        </w:drawing>
      </w:r>
    </w:p>
    <w:p w14:paraId="7D27F8DE" w14:textId="77777777" w:rsidR="00AC6717" w:rsidRDefault="00AC6717" w:rsidP="00AC6717">
      <w:pPr>
        <w:spacing w:line="360" w:lineRule="auto"/>
        <w:ind w:firstLine="567"/>
      </w:pPr>
    </w:p>
    <w:p w14:paraId="018367A5" w14:textId="77777777" w:rsidR="00AC6717" w:rsidRDefault="00AC6717" w:rsidP="00AC6717">
      <w:pPr>
        <w:spacing w:line="360" w:lineRule="auto"/>
        <w:ind w:firstLine="567"/>
        <w:jc w:val="both"/>
      </w:pPr>
      <w:r w:rsidRPr="0067085D">
        <w:t>donde B es el coeficiente de la función exponencial, y C es una constante de proporcionalidad.</w:t>
      </w:r>
    </w:p>
    <w:p w14:paraId="329D4DA9" w14:textId="77777777" w:rsidR="000B3067" w:rsidRPr="0067085D" w:rsidRDefault="000B3067" w:rsidP="00AC6717">
      <w:pPr>
        <w:spacing w:line="360" w:lineRule="auto"/>
        <w:ind w:firstLine="567"/>
        <w:jc w:val="both"/>
      </w:pPr>
    </w:p>
    <w:p w14:paraId="292BD652" w14:textId="77777777" w:rsidR="00AC6717" w:rsidRDefault="00AC6717" w:rsidP="00AC6717">
      <w:pPr>
        <w:spacing w:line="360" w:lineRule="auto"/>
        <w:ind w:firstLine="567"/>
        <w:jc w:val="both"/>
      </w:pPr>
      <w:r w:rsidRPr="0067085D">
        <w:t>Esta relación sugiere una analogía interesante entre los mercados financieros y los sistemas de gases ideales, donde la volatilidad podría interpretarse como una medida de la "temperatura" del mercado. Según esta interpretación, mercados con mayor volatilidad (mayor "temperatura") tendrían un coeficiente B menor, mientras que mercados más estables (menor "temperatura") tendrían un coeficiente B mayor.</w:t>
      </w:r>
    </w:p>
    <w:p w14:paraId="709B8FE7" w14:textId="77777777" w:rsidR="000B3067" w:rsidRPr="0067085D" w:rsidRDefault="000B3067" w:rsidP="00AC6717">
      <w:pPr>
        <w:spacing w:line="360" w:lineRule="auto"/>
        <w:ind w:firstLine="567"/>
        <w:jc w:val="both"/>
      </w:pPr>
    </w:p>
    <w:p w14:paraId="11C9D62B" w14:textId="77777777" w:rsidR="00AC6717" w:rsidRDefault="00AC6717" w:rsidP="00AC6717">
      <w:pPr>
        <w:spacing w:line="360" w:lineRule="auto"/>
        <w:ind w:firstLine="567"/>
        <w:jc w:val="both"/>
      </w:pPr>
      <w:r w:rsidRPr="0067085D">
        <w:t>De Mattos Neto et al. (2011) argumentan que esta información puede ser útil para predecir el comportamiento futuro de los mercados o para agrupar los mercados con el fin de analizar patrones económicos. La relación descubierta entre el coeficiente B y la volatilidad podría utilizarse como una nueva medida para cuantificar el movimiento de los mercados, permitiendo a los inversores prever el comportamiento del mercado o comprender la relación entre volatilidades altas y bajas.</w:t>
      </w:r>
    </w:p>
    <w:p w14:paraId="7FDBABC4" w14:textId="77777777" w:rsidR="000B3067" w:rsidRDefault="000B3067" w:rsidP="00AC6717">
      <w:pPr>
        <w:spacing w:line="360" w:lineRule="auto"/>
        <w:ind w:firstLine="567"/>
        <w:jc w:val="both"/>
      </w:pPr>
    </w:p>
    <w:p w14:paraId="0729EE74" w14:textId="77777777" w:rsidR="00AC6717" w:rsidRDefault="00AC6717" w:rsidP="00AC6717">
      <w:pPr>
        <w:spacing w:line="360" w:lineRule="auto"/>
      </w:pPr>
      <w:r w:rsidRPr="009A4032">
        <w:t xml:space="preserve">5.2.2. Horizontes de Predicción: Ventajas del Enfoque Mensual </w:t>
      </w:r>
    </w:p>
    <w:p w14:paraId="6EAD8429" w14:textId="77777777" w:rsidR="00AC6717" w:rsidRPr="00042DBE" w:rsidRDefault="00AC6717" w:rsidP="00AC6717">
      <w:pPr>
        <w:spacing w:line="360" w:lineRule="auto"/>
        <w:ind w:firstLine="567"/>
        <w:jc w:val="both"/>
      </w:pPr>
      <w:r w:rsidRPr="00042DBE">
        <w:t xml:space="preserve">El horizonte de predicción es un aspecto crucial en el análisis y pronóstico de los mercados financieros. Dentro de este contexto, el enfoque mensual ha demostrado tener </w:t>
      </w:r>
      <w:r w:rsidRPr="00042DBE">
        <w:lastRenderedPageBreak/>
        <w:t>ventajas significativas, especialmente en lo que respecta al estudio de patrones estacionales y anomalías de mercado.</w:t>
      </w:r>
    </w:p>
    <w:p w14:paraId="11B3FAF1" w14:textId="77777777" w:rsidR="00AC6717" w:rsidRPr="00042DBE" w:rsidRDefault="00AC6717" w:rsidP="00AC6717">
      <w:pPr>
        <w:spacing w:line="360" w:lineRule="auto"/>
        <w:ind w:firstLine="567"/>
        <w:jc w:val="both"/>
      </w:pPr>
      <w:r w:rsidRPr="00042DBE">
        <w:t xml:space="preserve">Xiao (2016) investigó el efecto mensual en el mercado de valores estadounidense, utilizando datos diarios del índice Russell 3000 durante el período 2000-2015. El autor encontró evidencia de estacionalidad fija con un efecto mensual positivo y significativo. Específicamente, se confirmaron los efectos de enero y diciembre en los valores del índice Russell 3000. Estos hallazgos sugieren que el análisis mensual puede revelar patrones que no son evidentes en horizontes </w:t>
      </w:r>
      <w:proofErr w:type="gramStart"/>
      <w:r w:rsidRPr="00042DBE">
        <w:t>más cortos o más largos</w:t>
      </w:r>
      <w:proofErr w:type="gramEnd"/>
      <w:r w:rsidRPr="00042DBE">
        <w:t>.</w:t>
      </w:r>
    </w:p>
    <w:p w14:paraId="40AEA9C5" w14:textId="77777777" w:rsidR="00AC6717" w:rsidRPr="00042DBE" w:rsidRDefault="00AC6717" w:rsidP="00AC6717">
      <w:pPr>
        <w:spacing w:line="360" w:lineRule="auto"/>
        <w:ind w:firstLine="567"/>
        <w:jc w:val="both"/>
      </w:pPr>
      <w:r w:rsidRPr="00042DBE">
        <w:t xml:space="preserve">Por su parte, </w:t>
      </w:r>
      <w:proofErr w:type="spellStart"/>
      <w:r w:rsidRPr="00042DBE">
        <w:t>Boudreaux</w:t>
      </w:r>
      <w:proofErr w:type="spellEnd"/>
      <w:r w:rsidRPr="00042DBE">
        <w:t xml:space="preserve"> (1995) examinó el efecto mensual en siete mercados bursátiles internacionales que no habían sido estudiados exhaustivamente hasta ese momento. El estudio abarcó el período de marzo de 1978 a diciembre de 1992, utilizando los índices reportados por Morgan Stanley Capital International </w:t>
      </w:r>
      <w:proofErr w:type="spellStart"/>
      <w:r w:rsidRPr="00042DBE">
        <w:t>Perspective</w:t>
      </w:r>
      <w:proofErr w:type="spellEnd"/>
      <w:r w:rsidRPr="00042DBE">
        <w:t xml:space="preserve"> (CIP). Los resultados mostraron que tres de los siete mercados estudiados presentaban un efecto mensual significativo.</w:t>
      </w:r>
    </w:p>
    <w:p w14:paraId="07B3C994" w14:textId="77777777" w:rsidR="00AC6717" w:rsidRPr="00042DBE" w:rsidRDefault="00AC6717" w:rsidP="00AC6717">
      <w:pPr>
        <w:spacing w:line="360" w:lineRule="auto"/>
        <w:ind w:firstLine="567"/>
        <w:jc w:val="both"/>
      </w:pPr>
      <w:r w:rsidRPr="00042DBE">
        <w:t xml:space="preserve">Una de las ventajas clave del enfoque mensual, como se evidencia en ambos estudios, es su capacidad para capturar efectos estacionales que pueden ser menos pronunciados o incluso invisibles en horizontes más cortos. Por ejemplo, </w:t>
      </w:r>
      <w:proofErr w:type="spellStart"/>
      <w:r w:rsidRPr="00042DBE">
        <w:t>Boudreaux</w:t>
      </w:r>
      <w:proofErr w:type="spellEnd"/>
      <w:r w:rsidRPr="00042DBE">
        <w:t xml:space="preserve"> (1995) encontró que los rendimientos promedio eran mayores al principio del mes que a mediados o finales del mes en la mayoría de los mercados estudiados, con la excepción notable de Singapur/Malasia, que mostró un efecto inverso.</w:t>
      </w:r>
    </w:p>
    <w:p w14:paraId="1748F288" w14:textId="77777777" w:rsidR="00AC6717" w:rsidRDefault="00AC6717" w:rsidP="00AC6717">
      <w:pPr>
        <w:spacing w:line="360" w:lineRule="auto"/>
        <w:ind w:firstLine="567"/>
        <w:jc w:val="both"/>
      </w:pPr>
      <w:r w:rsidRPr="00042DBE">
        <w:t xml:space="preserve">Además, el enfoque mensual permite una mejor comprensión de los efectos de enero y diciembre, que son particularmente relevantes en muchos mercados financieros. Xiao (2016) confirmó la persistencia de estos efectos en el mercado estadounidense, mientras que </w:t>
      </w:r>
      <w:proofErr w:type="spellStart"/>
      <w:r w:rsidRPr="00042DBE">
        <w:t>Boudreaux</w:t>
      </w:r>
      <w:proofErr w:type="spellEnd"/>
      <w:r w:rsidRPr="00042DBE">
        <w:t xml:space="preserve"> (1995) demostró que el efecto de enero, aunque significativo, no era el único factor que explicaba la presencia del efecto mensual en los mercados donde existía.</w:t>
      </w:r>
    </w:p>
    <w:p w14:paraId="648D14FC" w14:textId="77777777" w:rsidR="00AC6717" w:rsidRDefault="00AC6717" w:rsidP="00AC6717">
      <w:pPr>
        <w:spacing w:line="360" w:lineRule="auto"/>
      </w:pPr>
      <w:r w:rsidRPr="009A4032">
        <w:t>5.2.3. Transformación de Rendimientos a Quintiles</w:t>
      </w:r>
    </w:p>
    <w:p w14:paraId="671CE6EE" w14:textId="0B7A9DEA" w:rsidR="000B3067" w:rsidRPr="00C430E3" w:rsidRDefault="00AC6717" w:rsidP="000B3067">
      <w:pPr>
        <w:spacing w:line="360" w:lineRule="auto"/>
        <w:ind w:firstLine="567"/>
        <w:jc w:val="both"/>
      </w:pPr>
      <w:r w:rsidRPr="00C430E3">
        <w:t>La transformación de rendimientos continuos a quintiles discretos es una técnica común en el análisis financiero y la gestión de carteras para simplificar la evaluación del desempeño relativo de los activos. Este enfoque permite categorizar los rendimientos en grupos ordenados, facilitando la comparación entre diferentes instrumentos financieros y períodos de tiempo.</w:t>
      </w:r>
    </w:p>
    <w:p w14:paraId="08778C12" w14:textId="77777777" w:rsidR="00AC6717" w:rsidRPr="00C430E3" w:rsidRDefault="00AC6717" w:rsidP="00AC6717">
      <w:pPr>
        <w:spacing w:line="360" w:lineRule="auto"/>
        <w:ind w:firstLine="567"/>
        <w:jc w:val="both"/>
      </w:pPr>
      <w:r w:rsidRPr="00C430E3">
        <w:t xml:space="preserve">Barber et al. (2023) utilizan una metodología similar en su estudio sobre el comportamiento de los inversores minoristas, donde clasifican las acciones en quintiles </w:t>
      </w:r>
      <w:r w:rsidRPr="00C430E3">
        <w:lastRenderedPageBreak/>
        <w:t>basados en el desequilibrio de órdenes estandarizado. Aunque su enfoque se centra en el volumen de operaciones en lugar de los rendimientos, la técnica de categorización es análoga y relevante para nuestro estudio.</w:t>
      </w:r>
    </w:p>
    <w:p w14:paraId="6D4531D4" w14:textId="77777777" w:rsidR="00AC6717" w:rsidRPr="00C430E3" w:rsidRDefault="00AC6717" w:rsidP="00AC6717">
      <w:pPr>
        <w:spacing w:line="360" w:lineRule="auto"/>
        <w:ind w:firstLine="567"/>
        <w:jc w:val="both"/>
      </w:pPr>
      <w:r w:rsidRPr="00C430E3">
        <w:t>En el contexto de la predicción de rendimientos, la transformación a quintiles ofrece varias ventajas. En primer lugar, reduce la sensibilidad del modelo a valores extremos o atípicos que pueden ser comunes en los rendimientos financieros (Ang et al., 2006). Además, la clasificación en quintiles permite enfocarse en el rendimiento relativo de los activos dentro del universo de inversión, lo cual es particularmente útil para estrategias de inversión que buscan identificar los activos con mejor o peor desempeño.</w:t>
      </w:r>
    </w:p>
    <w:p w14:paraId="12958110" w14:textId="77777777" w:rsidR="00AC6717" w:rsidRPr="00C430E3" w:rsidRDefault="00AC6717" w:rsidP="00AC6717">
      <w:pPr>
        <w:spacing w:line="360" w:lineRule="auto"/>
        <w:ind w:firstLine="567"/>
        <w:jc w:val="both"/>
      </w:pPr>
      <w:proofErr w:type="spellStart"/>
      <w:r w:rsidRPr="00C430E3">
        <w:t>Goetzmann</w:t>
      </w:r>
      <w:proofErr w:type="spellEnd"/>
      <w:r w:rsidRPr="00C430E3">
        <w:t xml:space="preserve"> et al. (2023) argumentan que el uso de quintiles puede capturar mejor las dinámicas no lineales en los rendimientos de los activos, las cuales podrían no ser evidentes en un análisis de regresión lineal tradicional. Este enfoque también se alinea con las prácticas comunes en la industria de gestión de activos, donde los administradores de fondos a menudo evalúan el desempeño relativo de sus inversiones.</w:t>
      </w:r>
    </w:p>
    <w:p w14:paraId="0C84FDA2" w14:textId="77777777" w:rsidR="00AC6717" w:rsidRPr="00C430E3" w:rsidRDefault="00AC6717" w:rsidP="00AC6717">
      <w:pPr>
        <w:spacing w:line="360" w:lineRule="auto"/>
        <w:ind w:firstLine="567"/>
        <w:jc w:val="both"/>
      </w:pPr>
      <w:r w:rsidRPr="00C430E3">
        <w:t xml:space="preserve">Esta transformación permite que el problema de predicción se aborde como una tarea de clasificación multiclase, donde el objetivo es predecir a qué quintil pertenecerá un activo en el futuro basado en sus características actuales </w:t>
      </w:r>
      <w:proofErr w:type="spellStart"/>
      <w:r w:rsidRPr="00C430E3">
        <w:t>y</w:t>
      </w:r>
      <w:proofErr w:type="spellEnd"/>
      <w:r w:rsidRPr="00C430E3">
        <w:t xml:space="preserve"> históricas (Kelley y </w:t>
      </w:r>
      <w:proofErr w:type="spellStart"/>
      <w:r w:rsidRPr="00C430E3">
        <w:t>Tetlock</w:t>
      </w:r>
      <w:proofErr w:type="spellEnd"/>
      <w:r w:rsidRPr="00C430E3">
        <w:t>, 2013).</w:t>
      </w:r>
    </w:p>
    <w:p w14:paraId="6502F9E1" w14:textId="77777777" w:rsidR="00AC6717" w:rsidRPr="009A4032" w:rsidRDefault="00AC6717" w:rsidP="00AC6717">
      <w:pPr>
        <w:spacing w:after="160" w:line="360" w:lineRule="auto"/>
        <w:ind w:firstLine="567"/>
        <w:jc w:val="both"/>
      </w:pPr>
      <w:r>
        <w:t>La</w:t>
      </w:r>
      <w:r w:rsidRPr="00C430E3">
        <w:t xml:space="preserve"> elección de quintiles, en lugar de cuartiles o deciles, es en parte arbitraria y depende del equilibrio deseado entre granularidad y robustez estadística. Los quintiles ofrecen un buen compromiso, proporcionando suficiente diferenciación entre grupos mientras mantienen un número manejable de categorías para el análisis y la modelización (Barber et al., 2021).</w:t>
      </w:r>
    </w:p>
    <w:p w14:paraId="3E391843" w14:textId="77777777" w:rsidR="00AC6717" w:rsidRDefault="00AC6717" w:rsidP="00AC6717">
      <w:pPr>
        <w:spacing w:line="360" w:lineRule="auto"/>
        <w:jc w:val="center"/>
      </w:pPr>
      <w:r w:rsidRPr="009A4032">
        <w:rPr>
          <w:b/>
        </w:rPr>
        <w:t>5.3. Métodos de Ensemble en Machine Learning para Finanzas</w:t>
      </w:r>
    </w:p>
    <w:p w14:paraId="2F648EEB" w14:textId="77777777" w:rsidR="00AC6717" w:rsidRPr="00952526" w:rsidRDefault="00AC6717" w:rsidP="00AC6717">
      <w:pPr>
        <w:spacing w:line="360" w:lineRule="auto"/>
      </w:pPr>
      <w:r w:rsidRPr="00952526">
        <w:t>5.3. Métodos de Ensemble en Machine Learning para Finanzas</w:t>
      </w:r>
    </w:p>
    <w:p w14:paraId="3FCB9946" w14:textId="77777777" w:rsidR="00AC6717" w:rsidRPr="00952526" w:rsidRDefault="00AC6717" w:rsidP="00AC6717">
      <w:pPr>
        <w:spacing w:line="360" w:lineRule="auto"/>
        <w:ind w:firstLine="567"/>
        <w:jc w:val="both"/>
      </w:pPr>
      <w:r w:rsidRPr="00952526">
        <w:t>Los métodos de ensemble son técnicas de aprendizaje automático que combinan múltiples modelos para mejorar el rendimiento predictivo. En el contexto financiero, estos métodos han demostrado ser efectivos para capturar patrones complejos en los datos (</w:t>
      </w:r>
      <w:proofErr w:type="spellStart"/>
      <w:r w:rsidRPr="00952526">
        <w:t>Shwartz-Ziv</w:t>
      </w:r>
      <w:proofErr w:type="spellEnd"/>
      <w:r w:rsidRPr="00952526">
        <w:t xml:space="preserve"> y </w:t>
      </w:r>
      <w:proofErr w:type="spellStart"/>
      <w:r w:rsidRPr="00952526">
        <w:t>Armon</w:t>
      </w:r>
      <w:proofErr w:type="spellEnd"/>
      <w:r w:rsidRPr="00952526">
        <w:t xml:space="preserve">, 2021). Los </w:t>
      </w:r>
      <w:proofErr w:type="spellStart"/>
      <w:r w:rsidRPr="00952526">
        <w:t>ensembles</w:t>
      </w:r>
      <w:proofErr w:type="spellEnd"/>
      <w:r w:rsidRPr="00952526">
        <w:t xml:space="preserve"> pueden superar a modelos individuales al reducir el sesgo y la varianza, lo que resulta en predicciones más estables y precisas (</w:t>
      </w:r>
      <w:proofErr w:type="spellStart"/>
      <w:r w:rsidRPr="00952526">
        <w:t>Izza</w:t>
      </w:r>
      <w:proofErr w:type="spellEnd"/>
      <w:r w:rsidRPr="00952526">
        <w:t xml:space="preserve"> et al., 2021).</w:t>
      </w:r>
    </w:p>
    <w:p w14:paraId="00C3EC59" w14:textId="77777777" w:rsidR="00AC6717" w:rsidRPr="00952526" w:rsidRDefault="00AC6717" w:rsidP="00AC6717">
      <w:pPr>
        <w:spacing w:line="360" w:lineRule="auto"/>
      </w:pPr>
      <w:r w:rsidRPr="00952526">
        <w:t>5.3.1. Fundamentos de los Árboles de Decisión</w:t>
      </w:r>
    </w:p>
    <w:p w14:paraId="774EC49B" w14:textId="77777777" w:rsidR="00AC6717" w:rsidRPr="00952526" w:rsidRDefault="00AC6717" w:rsidP="00AC6717">
      <w:pPr>
        <w:spacing w:line="360" w:lineRule="auto"/>
        <w:ind w:firstLine="567"/>
        <w:jc w:val="both"/>
      </w:pPr>
      <w:r w:rsidRPr="00952526">
        <w:t xml:space="preserve">Los árboles de decisión son modelos de aprendizaje supervisado que dividen el espacio de características mediante decisiones binarias. En finanzas, estos modelos son </w:t>
      </w:r>
      <w:r w:rsidRPr="00952526">
        <w:lastRenderedPageBreak/>
        <w:t>valorados por su interpretabilidad y capacidad para manejar variables numéricas y categóricas. Un árbol de decisión se construye seleccionando en cada nodo la característica y el punto de división que mejor separa los datos según alguna medida de impureza (</w:t>
      </w:r>
      <w:proofErr w:type="spellStart"/>
      <w:r w:rsidRPr="00952526">
        <w:t>Izza</w:t>
      </w:r>
      <w:proofErr w:type="spellEnd"/>
      <w:r w:rsidRPr="00952526">
        <w:t xml:space="preserve"> et al., 2021).</w:t>
      </w:r>
    </w:p>
    <w:p w14:paraId="23D969F2" w14:textId="77777777" w:rsidR="00AC6717" w:rsidRPr="00952526" w:rsidRDefault="00AC6717" w:rsidP="00AC6717">
      <w:pPr>
        <w:spacing w:line="360" w:lineRule="auto"/>
        <w:ind w:firstLine="567"/>
        <w:jc w:val="both"/>
      </w:pPr>
      <w:r w:rsidRPr="00952526">
        <w:t>Los árboles de decisión tienen la ventaja de poder capturar relaciones no lineales y efectos de umbral, que son comunes en los mercados financieros. Por ejemplo, un árbol podría aprender que el impacto de un cambio en las tasas de interés sobre los precios de las acciones es diferente dependiendo del nivel actual de inflación (</w:t>
      </w:r>
      <w:proofErr w:type="spellStart"/>
      <w:r w:rsidRPr="00952526">
        <w:t>Izza</w:t>
      </w:r>
      <w:proofErr w:type="spellEnd"/>
      <w:r w:rsidRPr="00952526">
        <w:t xml:space="preserve"> et al., 2021).</w:t>
      </w:r>
    </w:p>
    <w:p w14:paraId="66C21CB0" w14:textId="77777777" w:rsidR="00AC6717" w:rsidRPr="00952526" w:rsidRDefault="00AC6717" w:rsidP="00AC6717">
      <w:pPr>
        <w:spacing w:line="360" w:lineRule="auto"/>
      </w:pPr>
      <w:r w:rsidRPr="00952526">
        <w:t xml:space="preserve">5.3.2. </w:t>
      </w:r>
      <w:proofErr w:type="spellStart"/>
      <w:r w:rsidRPr="00952526">
        <w:t>Random</w:t>
      </w:r>
      <w:proofErr w:type="spellEnd"/>
      <w:r w:rsidRPr="00952526">
        <w:t xml:space="preserve"> Forest: Principios y Aplicaciones en Finanzas</w:t>
      </w:r>
    </w:p>
    <w:p w14:paraId="3FD3797C" w14:textId="77777777" w:rsidR="00AC6717" w:rsidRPr="00952526" w:rsidRDefault="00AC6717" w:rsidP="00AC6717">
      <w:pPr>
        <w:spacing w:line="360" w:lineRule="auto"/>
        <w:ind w:firstLine="567"/>
        <w:jc w:val="both"/>
      </w:pPr>
      <w:proofErr w:type="spellStart"/>
      <w:r w:rsidRPr="00952526">
        <w:t>Random</w:t>
      </w:r>
      <w:proofErr w:type="spellEnd"/>
      <w:r w:rsidRPr="00952526">
        <w:t xml:space="preserve"> Forest es un método de ensemble que construye múltiples árboles de decisión y combina sus predicciones. Cada árbol se entrena con una muestra </w:t>
      </w:r>
      <w:proofErr w:type="spellStart"/>
      <w:r w:rsidRPr="00952526">
        <w:t>bootstrap</w:t>
      </w:r>
      <w:proofErr w:type="spellEnd"/>
      <w:r w:rsidRPr="00952526">
        <w:t xml:space="preserve"> de los datos y considera solo un subconjunto aleatorio de características en cada nodo (</w:t>
      </w:r>
      <w:proofErr w:type="spellStart"/>
      <w:r w:rsidRPr="00952526">
        <w:t>Shwartz-Ziv</w:t>
      </w:r>
      <w:proofErr w:type="spellEnd"/>
      <w:r w:rsidRPr="00952526">
        <w:t xml:space="preserve"> y </w:t>
      </w:r>
      <w:proofErr w:type="spellStart"/>
      <w:r w:rsidRPr="00952526">
        <w:t>Armon</w:t>
      </w:r>
      <w:proofErr w:type="spellEnd"/>
      <w:r w:rsidRPr="00952526">
        <w:t>, 2021). Esta aleatorización ayuda a reducir la correlación entre los árboles, lo que a su vez reduce la varianza del ensemble.</w:t>
      </w:r>
    </w:p>
    <w:p w14:paraId="2EE852F4" w14:textId="77777777" w:rsidR="00AC6717" w:rsidRPr="00952526" w:rsidRDefault="00AC6717" w:rsidP="00AC6717">
      <w:pPr>
        <w:spacing w:line="360" w:lineRule="auto"/>
        <w:ind w:firstLine="567"/>
        <w:jc w:val="both"/>
      </w:pPr>
      <w:r w:rsidRPr="00952526">
        <w:t xml:space="preserve">En finanzas, </w:t>
      </w:r>
      <w:proofErr w:type="spellStart"/>
      <w:r w:rsidRPr="00952526">
        <w:t>Random</w:t>
      </w:r>
      <w:proofErr w:type="spellEnd"/>
      <w:r w:rsidRPr="00952526">
        <w:t xml:space="preserve"> Forest se ha aplicado en predicción de rendimientos y evaluación de riesgo, entre otros. Su capacidad para manejar datos de alta dimensionalidad lo hace particularmente útil en aplicaciones financieras donde se dispone de un gran número de predictores potenciales (</w:t>
      </w:r>
      <w:proofErr w:type="spellStart"/>
      <w:r w:rsidRPr="00952526">
        <w:t>Shwartz-Ziv</w:t>
      </w:r>
      <w:proofErr w:type="spellEnd"/>
      <w:r w:rsidRPr="00952526">
        <w:t xml:space="preserve"> y </w:t>
      </w:r>
      <w:proofErr w:type="spellStart"/>
      <w:r w:rsidRPr="00952526">
        <w:t>Armon</w:t>
      </w:r>
      <w:proofErr w:type="spellEnd"/>
      <w:r w:rsidRPr="00952526">
        <w:t>, 2021).</w:t>
      </w:r>
    </w:p>
    <w:p w14:paraId="21C32A5E" w14:textId="77777777" w:rsidR="00AC6717" w:rsidRPr="00952526" w:rsidRDefault="00AC6717" w:rsidP="00AC6717">
      <w:pPr>
        <w:spacing w:line="360" w:lineRule="auto"/>
      </w:pPr>
      <w:r w:rsidRPr="00952526">
        <w:t>5.3.3. Ventajas de los Métodos de Ensemble en Datos Financieros</w:t>
      </w:r>
    </w:p>
    <w:p w14:paraId="573D15D0" w14:textId="77777777" w:rsidR="00AC6717" w:rsidRPr="00952526" w:rsidRDefault="00AC6717" w:rsidP="00AC6717">
      <w:pPr>
        <w:spacing w:line="360" w:lineRule="auto"/>
        <w:ind w:firstLine="567"/>
        <w:jc w:val="both"/>
      </w:pPr>
      <w:r w:rsidRPr="00952526">
        <w:t xml:space="preserve">Los métodos de ensemble como </w:t>
      </w:r>
      <w:proofErr w:type="spellStart"/>
      <w:r w:rsidRPr="00952526">
        <w:t>Random</w:t>
      </w:r>
      <w:proofErr w:type="spellEnd"/>
      <w:r w:rsidRPr="00952526">
        <w:t xml:space="preserve"> Forest ofrecen varias ventajas en el análisis de datos financieros:</w:t>
      </w:r>
    </w:p>
    <w:p w14:paraId="5D7AB935" w14:textId="77777777" w:rsidR="00AC6717" w:rsidRPr="00D57480" w:rsidRDefault="00AC6717" w:rsidP="00AC6717">
      <w:pPr>
        <w:pStyle w:val="ListParagraph"/>
        <w:numPr>
          <w:ilvl w:val="0"/>
          <w:numId w:val="13"/>
        </w:numPr>
        <w:spacing w:line="360" w:lineRule="auto"/>
        <w:jc w:val="both"/>
      </w:pPr>
      <w:r w:rsidRPr="00D57480">
        <w:t>Robustez frente al ruido: Los mercados financieros son inherentemente ruidosos, y los métodos de ensemble son menos propensos al sobreajuste en comparación con modelos individuales.</w:t>
      </w:r>
    </w:p>
    <w:p w14:paraId="48200EA1" w14:textId="77777777" w:rsidR="00AC6717" w:rsidRPr="00D57480" w:rsidRDefault="00AC6717" w:rsidP="00AC6717">
      <w:pPr>
        <w:pStyle w:val="ListParagraph"/>
        <w:numPr>
          <w:ilvl w:val="0"/>
          <w:numId w:val="13"/>
        </w:numPr>
        <w:spacing w:line="360" w:lineRule="auto"/>
        <w:jc w:val="both"/>
      </w:pPr>
      <w:r w:rsidRPr="00D57480">
        <w:t>Capacidad para capturar relaciones no lineales: Pueden modelar interacciones complejas entre variables sin necesidad de especificarlas explícitamente.</w:t>
      </w:r>
    </w:p>
    <w:p w14:paraId="10DE114E" w14:textId="77777777" w:rsidR="00AC6717" w:rsidRPr="00D57480" w:rsidRDefault="00AC6717" w:rsidP="00AC6717">
      <w:pPr>
        <w:pStyle w:val="ListParagraph"/>
        <w:numPr>
          <w:ilvl w:val="0"/>
          <w:numId w:val="13"/>
        </w:numPr>
        <w:spacing w:line="360" w:lineRule="auto"/>
        <w:jc w:val="both"/>
      </w:pPr>
      <w:r w:rsidRPr="00D57480">
        <w:t>Efectividad en datos de alta dimensionalidad: Son capaces de manejar un gran número de predictores, lo cual es común en aplicaciones financieras.</w:t>
      </w:r>
    </w:p>
    <w:p w14:paraId="324A9682" w14:textId="77777777" w:rsidR="00AC6717" w:rsidRPr="00D57480" w:rsidRDefault="00AC6717" w:rsidP="00AC6717">
      <w:pPr>
        <w:pStyle w:val="ListParagraph"/>
        <w:numPr>
          <w:ilvl w:val="0"/>
          <w:numId w:val="13"/>
        </w:numPr>
        <w:spacing w:line="360" w:lineRule="auto"/>
        <w:jc w:val="both"/>
      </w:pPr>
      <w:r w:rsidRPr="00D57480">
        <w:t xml:space="preserve">Manejo de datos faltantes: Algunos métodos de ensemble, como </w:t>
      </w:r>
      <w:proofErr w:type="spellStart"/>
      <w:r w:rsidRPr="00D57480">
        <w:t>Random</w:t>
      </w:r>
      <w:proofErr w:type="spellEnd"/>
      <w:r w:rsidRPr="00D57480">
        <w:t xml:space="preserve"> Forest, pueden manejar datos faltantes de forma natural.</w:t>
      </w:r>
    </w:p>
    <w:p w14:paraId="727CC367" w14:textId="77777777" w:rsidR="00AC6717" w:rsidRPr="008E7969" w:rsidRDefault="00AC6717" w:rsidP="00AC6717">
      <w:pPr>
        <w:pStyle w:val="ListParagraph"/>
        <w:numPr>
          <w:ilvl w:val="0"/>
          <w:numId w:val="13"/>
        </w:numPr>
        <w:spacing w:line="360" w:lineRule="auto"/>
        <w:jc w:val="both"/>
      </w:pPr>
      <w:r w:rsidRPr="00D57480">
        <w:t>Importancia de características: Proporcionan medidas de la importancia relativa de cada variable, lo que es valioso para la selección de características en modelos financieros.</w:t>
      </w:r>
    </w:p>
    <w:p w14:paraId="37613FE1" w14:textId="77777777" w:rsidR="00AC6717" w:rsidRPr="00952526" w:rsidRDefault="00AC6717" w:rsidP="00AC6717">
      <w:pPr>
        <w:spacing w:line="360" w:lineRule="auto"/>
        <w:ind w:firstLine="567"/>
        <w:jc w:val="both"/>
      </w:pPr>
      <w:r w:rsidRPr="00952526">
        <w:lastRenderedPageBreak/>
        <w:t>Estas características hacen que los métodos de ensemble sean particularmente adecuados para abordar los desafíos de los datos financieros (</w:t>
      </w:r>
      <w:proofErr w:type="spellStart"/>
      <w:r w:rsidRPr="00952526">
        <w:t>Shwartz-Ziv</w:t>
      </w:r>
      <w:proofErr w:type="spellEnd"/>
      <w:r w:rsidRPr="00952526">
        <w:t xml:space="preserve"> y </w:t>
      </w:r>
      <w:proofErr w:type="spellStart"/>
      <w:r w:rsidRPr="00952526">
        <w:t>Armon</w:t>
      </w:r>
      <w:proofErr w:type="spellEnd"/>
      <w:r w:rsidRPr="00952526">
        <w:t>, 2021).</w:t>
      </w:r>
    </w:p>
    <w:p w14:paraId="28DC5F26" w14:textId="77777777" w:rsidR="00AC6717" w:rsidRPr="00952526" w:rsidRDefault="00AC6717" w:rsidP="00AC6717">
      <w:pPr>
        <w:spacing w:line="360" w:lineRule="auto"/>
      </w:pPr>
      <w:r w:rsidRPr="00952526">
        <w:t xml:space="preserve">5.3.4. Limitaciones de </w:t>
      </w:r>
      <w:proofErr w:type="spellStart"/>
      <w:r w:rsidRPr="00952526">
        <w:t>Random</w:t>
      </w:r>
      <w:proofErr w:type="spellEnd"/>
      <w:r w:rsidRPr="00952526">
        <w:t xml:space="preserve"> Forest en Series Temporales Financieras</w:t>
      </w:r>
    </w:p>
    <w:p w14:paraId="293B086D" w14:textId="77777777" w:rsidR="00AC6717" w:rsidRPr="00952526" w:rsidRDefault="00AC6717" w:rsidP="00AC6717">
      <w:pPr>
        <w:spacing w:line="360" w:lineRule="auto"/>
        <w:ind w:firstLine="567"/>
        <w:jc w:val="both"/>
      </w:pPr>
      <w:r w:rsidRPr="00952526">
        <w:t xml:space="preserve">A pesar de sus ventajas, </w:t>
      </w:r>
      <w:proofErr w:type="spellStart"/>
      <w:r w:rsidRPr="00952526">
        <w:t>Random</w:t>
      </w:r>
      <w:proofErr w:type="spellEnd"/>
      <w:r w:rsidRPr="00952526">
        <w:t xml:space="preserve"> Forest presenta limitaciones en series temporales financieras:</w:t>
      </w:r>
    </w:p>
    <w:p w14:paraId="58BF0C59" w14:textId="77777777" w:rsidR="00AC6717" w:rsidRPr="00D57480" w:rsidRDefault="00AC6717" w:rsidP="00AC6717">
      <w:pPr>
        <w:pStyle w:val="ListParagraph"/>
        <w:numPr>
          <w:ilvl w:val="0"/>
          <w:numId w:val="14"/>
        </w:numPr>
        <w:spacing w:line="360" w:lineRule="auto"/>
        <w:jc w:val="both"/>
      </w:pPr>
      <w:r w:rsidRPr="00D57480">
        <w:t xml:space="preserve">Dificultad para capturar tendencias a largo plazo: Al basarse en árboles de decisión, que dividen el espacio de características en regiones rectangulares, </w:t>
      </w:r>
      <w:proofErr w:type="spellStart"/>
      <w:r w:rsidRPr="00D57480">
        <w:t>Random</w:t>
      </w:r>
      <w:proofErr w:type="spellEnd"/>
      <w:r w:rsidRPr="00D57480">
        <w:t xml:space="preserve"> Forest puede tener dificultades para modelar tendencias suaves y continuas en el tiempo.</w:t>
      </w:r>
    </w:p>
    <w:p w14:paraId="34498880" w14:textId="77777777" w:rsidR="00AC6717" w:rsidRPr="00D57480" w:rsidRDefault="00AC6717" w:rsidP="00AC6717">
      <w:pPr>
        <w:pStyle w:val="ListParagraph"/>
        <w:numPr>
          <w:ilvl w:val="0"/>
          <w:numId w:val="14"/>
        </w:numPr>
        <w:spacing w:line="360" w:lineRule="auto"/>
        <w:jc w:val="both"/>
      </w:pPr>
      <w:r w:rsidRPr="00D57480">
        <w:t>Falta de estructura temporal: No tiene un mecanismo inherente para modelar dependencias temporales, a diferencia de modelos como ARIMA o LSTM.</w:t>
      </w:r>
    </w:p>
    <w:p w14:paraId="04066BFF" w14:textId="77777777" w:rsidR="00AC6717" w:rsidRPr="00D57480" w:rsidRDefault="00AC6717" w:rsidP="00AC6717">
      <w:pPr>
        <w:pStyle w:val="ListParagraph"/>
        <w:numPr>
          <w:ilvl w:val="0"/>
          <w:numId w:val="14"/>
        </w:numPr>
        <w:spacing w:line="360" w:lineRule="auto"/>
        <w:jc w:val="both"/>
      </w:pPr>
      <w:r w:rsidRPr="00D57480">
        <w:t>Asunción de independencia: Asume que las observaciones son independientes, lo cual no es cierto en series temporales financieras donde existe autocorrelación.</w:t>
      </w:r>
    </w:p>
    <w:p w14:paraId="0569D2C8" w14:textId="77777777" w:rsidR="00AC6717" w:rsidRDefault="00AC6717" w:rsidP="00AC6717">
      <w:pPr>
        <w:pStyle w:val="ListParagraph"/>
        <w:numPr>
          <w:ilvl w:val="0"/>
          <w:numId w:val="14"/>
        </w:numPr>
        <w:spacing w:line="360" w:lineRule="auto"/>
        <w:jc w:val="both"/>
      </w:pPr>
      <w:r w:rsidRPr="00D57480">
        <w:t>Dificultad para manejar estacionalidad: Aunque puede capturar patrones estacionales si se proporcionan las características adecuadas, no tiene un mecanismo integrado para modelar la estacionalidad como lo hacen los modelos de series temporales tradicionales.</w:t>
      </w:r>
    </w:p>
    <w:p w14:paraId="47C7FE86" w14:textId="77777777" w:rsidR="00AC6717" w:rsidRPr="008E7969" w:rsidRDefault="00AC6717" w:rsidP="00AC6717">
      <w:pPr>
        <w:pStyle w:val="ListParagraph"/>
        <w:spacing w:line="360" w:lineRule="auto"/>
        <w:jc w:val="both"/>
      </w:pPr>
    </w:p>
    <w:p w14:paraId="5E7C398A" w14:textId="77777777" w:rsidR="00AC6717" w:rsidRDefault="00AC6717" w:rsidP="00AC6717">
      <w:pPr>
        <w:spacing w:line="360" w:lineRule="auto"/>
        <w:ind w:firstLine="567"/>
        <w:jc w:val="both"/>
      </w:pPr>
      <w:r w:rsidRPr="00952526">
        <w:t xml:space="preserve">Estas limitaciones sugieren que en aplicaciones que involucran predicción de series temporales financieras, pueden ser necesarios enfoques más especializados o híbridos que combinen las fortalezas de </w:t>
      </w:r>
      <w:proofErr w:type="spellStart"/>
      <w:r w:rsidRPr="00952526">
        <w:t>Random</w:t>
      </w:r>
      <w:proofErr w:type="spellEnd"/>
      <w:r w:rsidRPr="00952526">
        <w:t xml:space="preserve"> Forest con modelos diseñados específicamente para datos secuenciales (</w:t>
      </w:r>
      <w:proofErr w:type="spellStart"/>
      <w:r w:rsidRPr="00952526">
        <w:t>Shwartz-Ziv</w:t>
      </w:r>
      <w:proofErr w:type="spellEnd"/>
      <w:r w:rsidRPr="00952526">
        <w:t xml:space="preserve"> y </w:t>
      </w:r>
      <w:proofErr w:type="spellStart"/>
      <w:r w:rsidRPr="00952526">
        <w:t>Armon</w:t>
      </w:r>
      <w:proofErr w:type="spellEnd"/>
      <w:r w:rsidRPr="00952526">
        <w:t>, 2021).</w:t>
      </w:r>
    </w:p>
    <w:p w14:paraId="5EB83B52" w14:textId="77777777" w:rsidR="00AC6717" w:rsidRDefault="00AC6717" w:rsidP="00AC6717">
      <w:pPr>
        <w:spacing w:line="360" w:lineRule="auto"/>
        <w:jc w:val="center"/>
        <w:rPr>
          <w:b/>
        </w:rPr>
      </w:pPr>
      <w:r w:rsidRPr="00B2498C">
        <w:rPr>
          <w:b/>
        </w:rPr>
        <w:t xml:space="preserve">5.4. </w:t>
      </w:r>
      <w:r w:rsidRPr="00D57480">
        <w:rPr>
          <w:b/>
        </w:rPr>
        <w:t xml:space="preserve">Modelos de </w:t>
      </w:r>
      <w:proofErr w:type="spellStart"/>
      <w:r w:rsidRPr="00D57480">
        <w:rPr>
          <w:b/>
        </w:rPr>
        <w:t>Gradient</w:t>
      </w:r>
      <w:proofErr w:type="spellEnd"/>
      <w:r w:rsidRPr="00D57480">
        <w:rPr>
          <w:b/>
        </w:rPr>
        <w:t xml:space="preserve"> </w:t>
      </w:r>
      <w:proofErr w:type="spellStart"/>
      <w:r w:rsidRPr="00D57480">
        <w:rPr>
          <w:b/>
        </w:rPr>
        <w:t>Boosting</w:t>
      </w:r>
      <w:proofErr w:type="spellEnd"/>
    </w:p>
    <w:p w14:paraId="5CC8B0F9" w14:textId="77777777" w:rsidR="00AC6717" w:rsidRPr="00B2498C" w:rsidRDefault="00AC6717" w:rsidP="00AC6717">
      <w:pPr>
        <w:spacing w:line="360" w:lineRule="auto"/>
      </w:pPr>
      <w:r w:rsidRPr="00B2498C">
        <w:t xml:space="preserve">5.4.1. Introducción a </w:t>
      </w:r>
      <w:proofErr w:type="spellStart"/>
      <w:r w:rsidRPr="00B2498C">
        <w:t>Gradient</w:t>
      </w:r>
      <w:proofErr w:type="spellEnd"/>
      <w:r w:rsidRPr="00B2498C">
        <w:t xml:space="preserve"> </w:t>
      </w:r>
      <w:proofErr w:type="spellStart"/>
      <w:r w:rsidRPr="00B2498C">
        <w:t>Boosting</w:t>
      </w:r>
      <w:proofErr w:type="spellEnd"/>
    </w:p>
    <w:p w14:paraId="1A3A27C9" w14:textId="77777777" w:rsidR="00AC6717" w:rsidRPr="00B2498C" w:rsidRDefault="00AC6717" w:rsidP="00AC6717">
      <w:pPr>
        <w:spacing w:line="360" w:lineRule="auto"/>
        <w:ind w:firstLine="567"/>
        <w:jc w:val="both"/>
      </w:pPr>
      <w:proofErr w:type="spellStart"/>
      <w:r w:rsidRPr="00B2498C">
        <w:t>Gradient</w:t>
      </w:r>
      <w:proofErr w:type="spellEnd"/>
      <w:r w:rsidRPr="00B2498C">
        <w:t xml:space="preserve"> </w:t>
      </w:r>
      <w:proofErr w:type="spellStart"/>
      <w:r w:rsidRPr="00B2498C">
        <w:t>Boosting</w:t>
      </w:r>
      <w:proofErr w:type="spellEnd"/>
      <w:r w:rsidRPr="00B2498C">
        <w:t xml:space="preserve"> es un algoritmo de aprendizaje automático que ha mostrado buenos resultados en una variedad de tareas prácticas. Es un método comúnmente usado para problemas de aprendizaje con características heterogéneas, datos ruidosos y dependencias complejas [</w:t>
      </w:r>
      <w:proofErr w:type="spellStart"/>
      <w:r w:rsidRPr="00B2498C">
        <w:t>Prokhorenkova</w:t>
      </w:r>
      <w:proofErr w:type="spellEnd"/>
      <w:r w:rsidRPr="00B2498C">
        <w:t xml:space="preserve"> et al., 2018]. </w:t>
      </w:r>
      <w:proofErr w:type="spellStart"/>
      <w:r w:rsidRPr="00B2498C">
        <w:t>Gradient</w:t>
      </w:r>
      <w:proofErr w:type="spellEnd"/>
      <w:r w:rsidRPr="00B2498C">
        <w:t xml:space="preserve"> </w:t>
      </w:r>
      <w:proofErr w:type="spellStart"/>
      <w:r w:rsidRPr="00B2498C">
        <w:t>boosting</w:t>
      </w:r>
      <w:proofErr w:type="spellEnd"/>
      <w:r w:rsidRPr="00B2498C">
        <w:t xml:space="preserve"> construye un ensamble de predictores realizando descenso de gradiente en un espacio funcional [Friedman, 2001]. El algoritmo entrena iterativamente una secuencia de modelos simples, llamados </w:t>
      </w:r>
      <w:proofErr w:type="spellStart"/>
      <w:r w:rsidRPr="00B2498C">
        <w:t>learners</w:t>
      </w:r>
      <w:proofErr w:type="spellEnd"/>
      <w:r w:rsidRPr="00B2498C">
        <w:t xml:space="preserve"> débiles, cada uno optimizado para corregir los errores residuales del ensamble previo. Los resultados de los </w:t>
      </w:r>
      <w:proofErr w:type="spellStart"/>
      <w:r w:rsidRPr="00B2498C">
        <w:t>learners</w:t>
      </w:r>
      <w:proofErr w:type="spellEnd"/>
      <w:r w:rsidRPr="00B2498C">
        <w:t xml:space="preserve"> se combinan para hacer la predicción final.</w:t>
      </w:r>
    </w:p>
    <w:p w14:paraId="44151001" w14:textId="77777777" w:rsidR="00AC6717" w:rsidRPr="00B2498C" w:rsidRDefault="00AC6717" w:rsidP="00AC6717">
      <w:pPr>
        <w:spacing w:line="360" w:lineRule="auto"/>
      </w:pPr>
      <w:r w:rsidRPr="00B2498C">
        <w:lastRenderedPageBreak/>
        <w:t xml:space="preserve">5.4.2. </w:t>
      </w:r>
      <w:proofErr w:type="spellStart"/>
      <w:r w:rsidRPr="00B2498C">
        <w:t>XGBoost</w:t>
      </w:r>
      <w:proofErr w:type="spellEnd"/>
      <w:r w:rsidRPr="00B2498C">
        <w:t xml:space="preserve">: </w:t>
      </w:r>
      <w:proofErr w:type="spellStart"/>
      <w:r w:rsidRPr="00B2498C">
        <w:t>Gradient</w:t>
      </w:r>
      <w:proofErr w:type="spellEnd"/>
      <w:r w:rsidRPr="00B2498C">
        <w:t xml:space="preserve"> </w:t>
      </w:r>
      <w:proofErr w:type="spellStart"/>
      <w:r w:rsidRPr="00B2498C">
        <w:t>Boosting</w:t>
      </w:r>
      <w:proofErr w:type="spellEnd"/>
      <w:r w:rsidRPr="00B2498C">
        <w:t xml:space="preserve"> Escalable</w:t>
      </w:r>
    </w:p>
    <w:p w14:paraId="7713C2DD" w14:textId="77777777" w:rsidR="00AC6717" w:rsidRPr="00B2498C" w:rsidRDefault="00AC6717" w:rsidP="00AC6717">
      <w:pPr>
        <w:spacing w:line="360" w:lineRule="auto"/>
        <w:ind w:firstLine="567"/>
        <w:jc w:val="both"/>
      </w:pPr>
      <w:proofErr w:type="spellStart"/>
      <w:r w:rsidRPr="00B2498C">
        <w:t>XGBoost</w:t>
      </w:r>
      <w:proofErr w:type="spellEnd"/>
      <w:r w:rsidRPr="00B2498C">
        <w:t xml:space="preserve"> es una implementación optimizada de </w:t>
      </w:r>
      <w:proofErr w:type="spellStart"/>
      <w:r w:rsidRPr="00B2498C">
        <w:t>gradient</w:t>
      </w:r>
      <w:proofErr w:type="spellEnd"/>
      <w:r w:rsidRPr="00B2498C">
        <w:t xml:space="preserve"> </w:t>
      </w:r>
      <w:proofErr w:type="spellStart"/>
      <w:r w:rsidRPr="00B2498C">
        <w:t>boosting</w:t>
      </w:r>
      <w:proofErr w:type="spellEnd"/>
      <w:r w:rsidRPr="00B2498C">
        <w:t xml:space="preserve"> propuesta por Chen y </w:t>
      </w:r>
      <w:proofErr w:type="spellStart"/>
      <w:r w:rsidRPr="00B2498C">
        <w:t>Guestrin</w:t>
      </w:r>
      <w:proofErr w:type="spellEnd"/>
      <w:r w:rsidRPr="00B2498C">
        <w:t xml:space="preserve"> [2016]. Ha ganado reconocimiento por su desempeño en competencias de </w:t>
      </w:r>
      <w:proofErr w:type="spellStart"/>
      <w:r w:rsidRPr="00B2498C">
        <w:t>Kaggle</w:t>
      </w:r>
      <w:proofErr w:type="spellEnd"/>
      <w:r w:rsidRPr="00B2498C">
        <w:t xml:space="preserve"> y su adopción en problemas del mundo real. </w:t>
      </w:r>
      <w:proofErr w:type="spellStart"/>
      <w:r w:rsidRPr="00B2498C">
        <w:t>XGBoost</w:t>
      </w:r>
      <w:proofErr w:type="spellEnd"/>
      <w:r w:rsidRPr="00B2498C">
        <w:t xml:space="preserve"> aborda algunas limitaciones de las implementaciones previas, particularmente en términos de escalabilidad y eficiencia.</w:t>
      </w:r>
    </w:p>
    <w:p w14:paraId="4C278395" w14:textId="77777777" w:rsidR="00AC6717" w:rsidRPr="00B2498C" w:rsidRDefault="00AC6717" w:rsidP="00AC6717">
      <w:pPr>
        <w:spacing w:line="360" w:lineRule="auto"/>
        <w:ind w:firstLine="567"/>
        <w:jc w:val="both"/>
      </w:pPr>
      <w:r w:rsidRPr="00B2498C">
        <w:t xml:space="preserve">Una contribución clave de </w:t>
      </w:r>
      <w:proofErr w:type="spellStart"/>
      <w:r w:rsidRPr="00B2498C">
        <w:t>XGBoost</w:t>
      </w:r>
      <w:proofErr w:type="spellEnd"/>
      <w:r w:rsidRPr="00B2498C">
        <w:t xml:space="preserve"> es el uso de una formulación regularizada del objetivo de aprendizaje. Además del término usual de pérdida, </w:t>
      </w:r>
      <w:proofErr w:type="spellStart"/>
      <w:r w:rsidRPr="00B2498C">
        <w:t>XGBoost</w:t>
      </w:r>
      <w:proofErr w:type="spellEnd"/>
      <w:r w:rsidRPr="00B2498C">
        <w:t xml:space="preserve"> incluye un término de regularización que controla la complejidad del modelo. Esto ayuda a prevenir el sobreajuste y da lugar a un mejor desempeño de generalización.</w:t>
      </w:r>
    </w:p>
    <w:p w14:paraId="22EFC92A" w14:textId="77777777" w:rsidR="00AC6717" w:rsidRPr="00B2498C" w:rsidRDefault="00AC6717" w:rsidP="00AC6717">
      <w:pPr>
        <w:spacing w:line="360" w:lineRule="auto"/>
        <w:ind w:firstLine="567"/>
        <w:jc w:val="both"/>
      </w:pPr>
      <w:r w:rsidRPr="00B2498C">
        <w:t xml:space="preserve">Para manejar datos dispersos, </w:t>
      </w:r>
      <w:proofErr w:type="spellStart"/>
      <w:r w:rsidRPr="00B2498C">
        <w:t>XGBoost</w:t>
      </w:r>
      <w:proofErr w:type="spellEnd"/>
      <w:r w:rsidRPr="00B2498C">
        <w:t xml:space="preserve"> utiliza un algoritmo consciente de la dispersión llamado "columnas comprimidas" para almacenar columnas dispersas en bloques. También tiene técnicas para realizar la búsqueda de división y podado de árboles de manera eficiente en este formato [Chen and </w:t>
      </w:r>
      <w:proofErr w:type="spellStart"/>
      <w:r w:rsidRPr="00B2498C">
        <w:t>Guestrin</w:t>
      </w:r>
      <w:proofErr w:type="spellEnd"/>
      <w:r w:rsidRPr="00B2498C">
        <w:t>, 2016].</w:t>
      </w:r>
    </w:p>
    <w:p w14:paraId="64052885" w14:textId="77777777" w:rsidR="00AC6717" w:rsidRPr="00B2498C" w:rsidRDefault="00AC6717" w:rsidP="00AC6717">
      <w:pPr>
        <w:spacing w:line="360" w:lineRule="auto"/>
        <w:ind w:firstLine="567"/>
        <w:jc w:val="both"/>
      </w:pPr>
      <w:proofErr w:type="spellStart"/>
      <w:r w:rsidRPr="00B2498C">
        <w:t>XGBoost</w:t>
      </w:r>
      <w:proofErr w:type="spellEnd"/>
      <w:r w:rsidRPr="00B2498C">
        <w:t xml:space="preserve"> escala a conjuntos de datos del orden de miles de millones de ejemplos utilizando técnicas como computación fuera de núcleo y aprendizaje distribuido. Puede manejar problemas de memoria insuficiente almacenando los datos en disco y procesando en bloques pequeños. También provee una interfaz para entrenamiento distribuido, permitiendo particionar los datos sobre un clúster de máquinas.</w:t>
      </w:r>
    </w:p>
    <w:p w14:paraId="34F07579" w14:textId="77777777" w:rsidR="00AC6717" w:rsidRPr="00B2498C" w:rsidRDefault="00AC6717" w:rsidP="00AC6717">
      <w:pPr>
        <w:spacing w:line="360" w:lineRule="auto"/>
      </w:pPr>
      <w:r w:rsidRPr="00B2498C">
        <w:t xml:space="preserve">5.4.3. </w:t>
      </w:r>
      <w:proofErr w:type="spellStart"/>
      <w:r w:rsidRPr="00B2498C">
        <w:t>CatBoost</w:t>
      </w:r>
      <w:proofErr w:type="spellEnd"/>
      <w:r w:rsidRPr="00B2498C">
        <w:t xml:space="preserve">: </w:t>
      </w:r>
      <w:proofErr w:type="spellStart"/>
      <w:r w:rsidRPr="00B2498C">
        <w:t>Boosting</w:t>
      </w:r>
      <w:proofErr w:type="spellEnd"/>
      <w:r w:rsidRPr="00B2498C">
        <w:t xml:space="preserve"> con Datos Categóricos</w:t>
      </w:r>
    </w:p>
    <w:p w14:paraId="07D75FCD" w14:textId="77777777" w:rsidR="00AC6717" w:rsidRPr="00B2498C" w:rsidRDefault="00AC6717" w:rsidP="00AC6717">
      <w:pPr>
        <w:spacing w:line="360" w:lineRule="auto"/>
        <w:ind w:firstLine="567"/>
        <w:jc w:val="both"/>
      </w:pPr>
      <w:proofErr w:type="spellStart"/>
      <w:r w:rsidRPr="00B2498C">
        <w:t>CatBoost</w:t>
      </w:r>
      <w:proofErr w:type="spellEnd"/>
      <w:r w:rsidRPr="00B2498C">
        <w:t xml:space="preserve"> es otra implementación reciente de </w:t>
      </w:r>
      <w:proofErr w:type="spellStart"/>
      <w:r w:rsidRPr="00B2498C">
        <w:t>gradient</w:t>
      </w:r>
      <w:proofErr w:type="spellEnd"/>
      <w:r w:rsidRPr="00B2498C">
        <w:t xml:space="preserve"> </w:t>
      </w:r>
      <w:proofErr w:type="spellStart"/>
      <w:r w:rsidRPr="00B2498C">
        <w:t>boosting</w:t>
      </w:r>
      <w:proofErr w:type="spellEnd"/>
      <w:r w:rsidRPr="00B2498C">
        <w:t xml:space="preserve"> desarrollada por </w:t>
      </w:r>
      <w:proofErr w:type="spellStart"/>
      <w:r w:rsidRPr="00B2498C">
        <w:t>Yandex</w:t>
      </w:r>
      <w:proofErr w:type="spellEnd"/>
      <w:r w:rsidRPr="00B2498C">
        <w:t xml:space="preserve"> [</w:t>
      </w:r>
      <w:proofErr w:type="spellStart"/>
      <w:r w:rsidRPr="00B2498C">
        <w:t>Prokhorenkova</w:t>
      </w:r>
      <w:proofErr w:type="spellEnd"/>
      <w:r w:rsidRPr="00B2498C">
        <w:t xml:space="preserve"> et al., 2018]. Incorpora dos mejoras principales al algoritmo estándar: (1) </w:t>
      </w:r>
      <w:proofErr w:type="spellStart"/>
      <w:r w:rsidRPr="00B2498C">
        <w:t>boosting</w:t>
      </w:r>
      <w:proofErr w:type="spellEnd"/>
      <w:r w:rsidRPr="00B2498C">
        <w:t xml:space="preserve"> ordenado, una alternativa basada en permutación al algoritmo clásico; y (2) un algoritmo para procesar características categóricas.</w:t>
      </w:r>
    </w:p>
    <w:p w14:paraId="6C8301D4" w14:textId="77777777" w:rsidR="00AC6717" w:rsidRPr="00B2498C" w:rsidRDefault="00AC6717" w:rsidP="00AC6717">
      <w:pPr>
        <w:spacing w:line="360" w:lineRule="auto"/>
        <w:ind w:firstLine="567"/>
        <w:jc w:val="both"/>
      </w:pPr>
      <w:r w:rsidRPr="00B2498C">
        <w:t xml:space="preserve">El </w:t>
      </w:r>
      <w:proofErr w:type="spellStart"/>
      <w:r w:rsidRPr="00B2498C">
        <w:t>boosting</w:t>
      </w:r>
      <w:proofErr w:type="spellEnd"/>
      <w:r w:rsidRPr="00B2498C">
        <w:t xml:space="preserve"> ordenado aborda el problema de cambio de predicción presente en implementaciones previas de </w:t>
      </w:r>
      <w:proofErr w:type="spellStart"/>
      <w:r w:rsidRPr="00B2498C">
        <w:t>gradient</w:t>
      </w:r>
      <w:proofErr w:type="spellEnd"/>
      <w:r w:rsidRPr="00B2498C">
        <w:t xml:space="preserve"> </w:t>
      </w:r>
      <w:proofErr w:type="spellStart"/>
      <w:r w:rsidRPr="00B2498C">
        <w:t>boosting</w:t>
      </w:r>
      <w:proofErr w:type="spellEnd"/>
      <w:r w:rsidRPr="00B2498C">
        <w:t xml:space="preserve">. Este cambio ocurre cuando un modelo entrenado en datos sesgados hace uso de estadísticas calculadas sobre el conjunto de entrenamiento completo, introduciendo un sesgo en las predicciones. </w:t>
      </w:r>
      <w:proofErr w:type="spellStart"/>
      <w:r w:rsidRPr="00B2498C">
        <w:t>CatBoost</w:t>
      </w:r>
      <w:proofErr w:type="spellEnd"/>
      <w:r w:rsidRPr="00B2498C">
        <w:t xml:space="preserve"> resuelve esto utilizando una permutación aleatoria de los datos y ajustando los modelos solo en los objetos que aparecen antes en la permutación.</w:t>
      </w:r>
    </w:p>
    <w:p w14:paraId="78EA115B" w14:textId="77777777" w:rsidR="00AC6717" w:rsidRPr="00B2498C" w:rsidRDefault="00AC6717" w:rsidP="00AC6717">
      <w:pPr>
        <w:spacing w:line="360" w:lineRule="auto"/>
        <w:ind w:firstLine="567"/>
        <w:jc w:val="both"/>
      </w:pPr>
      <w:r w:rsidRPr="00B2498C">
        <w:t xml:space="preserve">Para variables categóricas, </w:t>
      </w:r>
      <w:proofErr w:type="spellStart"/>
      <w:r w:rsidRPr="00B2498C">
        <w:t>CatBoost</w:t>
      </w:r>
      <w:proofErr w:type="spellEnd"/>
      <w:r w:rsidRPr="00B2498C">
        <w:t xml:space="preserve"> utiliza un esquema de codificación basado en estadísticas objetivo (TS). En lugar de codificación </w:t>
      </w:r>
      <w:proofErr w:type="spellStart"/>
      <w:r w:rsidRPr="00B2498C">
        <w:t>one-hot</w:t>
      </w:r>
      <w:proofErr w:type="spellEnd"/>
      <w:r w:rsidRPr="00B2498C">
        <w:t xml:space="preserve">, </w:t>
      </w:r>
      <w:proofErr w:type="spellStart"/>
      <w:r w:rsidRPr="00B2498C">
        <w:t>CatBoost</w:t>
      </w:r>
      <w:proofErr w:type="spellEnd"/>
      <w:r w:rsidRPr="00B2498C">
        <w:t xml:space="preserve"> calcula TS sobre los datos anteriores en la permutación. De esta forma, permite usar información de la variable objetivo sin introducir sesgo.</w:t>
      </w:r>
    </w:p>
    <w:p w14:paraId="46A8CD1D" w14:textId="77777777" w:rsidR="00AC6717" w:rsidRPr="00B2498C" w:rsidRDefault="00AC6717" w:rsidP="00AC6717">
      <w:pPr>
        <w:spacing w:line="360" w:lineRule="auto"/>
      </w:pPr>
      <w:r w:rsidRPr="00B2498C">
        <w:lastRenderedPageBreak/>
        <w:t>5.4.4. Comparación del Desempeño en Datos Tabulares</w:t>
      </w:r>
    </w:p>
    <w:p w14:paraId="54D1B184" w14:textId="77777777" w:rsidR="00AC6717" w:rsidRPr="00B2498C" w:rsidRDefault="00AC6717" w:rsidP="00AC6717">
      <w:pPr>
        <w:spacing w:line="360" w:lineRule="auto"/>
        <w:ind w:firstLine="567"/>
        <w:jc w:val="both"/>
      </w:pPr>
      <w:r w:rsidRPr="00B2498C">
        <w:t xml:space="preserve">Diversos estudios han comparado </w:t>
      </w:r>
      <w:proofErr w:type="spellStart"/>
      <w:r w:rsidRPr="00B2498C">
        <w:t>XGBoost</w:t>
      </w:r>
      <w:proofErr w:type="spellEnd"/>
      <w:r w:rsidRPr="00B2498C">
        <w:t xml:space="preserve">, </w:t>
      </w:r>
      <w:proofErr w:type="spellStart"/>
      <w:r w:rsidRPr="00B2498C">
        <w:t>CatBoost</w:t>
      </w:r>
      <w:proofErr w:type="spellEnd"/>
      <w:r w:rsidRPr="00B2498C">
        <w:t xml:space="preserve"> y otras implementaciones de </w:t>
      </w:r>
      <w:proofErr w:type="spellStart"/>
      <w:r w:rsidRPr="00B2498C">
        <w:t>gradient</w:t>
      </w:r>
      <w:proofErr w:type="spellEnd"/>
      <w:r w:rsidRPr="00B2498C">
        <w:t xml:space="preserve"> </w:t>
      </w:r>
      <w:proofErr w:type="spellStart"/>
      <w:r w:rsidRPr="00B2498C">
        <w:t>boosting</w:t>
      </w:r>
      <w:proofErr w:type="spellEnd"/>
      <w:r w:rsidRPr="00B2498C">
        <w:t xml:space="preserve"> en conjuntos de datos tabulares. </w:t>
      </w:r>
      <w:proofErr w:type="spellStart"/>
      <w:r w:rsidRPr="00B2498C">
        <w:t>Shwartz-Ziv</w:t>
      </w:r>
      <w:proofErr w:type="spellEnd"/>
      <w:r w:rsidRPr="00B2498C">
        <w:t xml:space="preserve"> y </w:t>
      </w:r>
      <w:proofErr w:type="spellStart"/>
      <w:r w:rsidRPr="00B2498C">
        <w:t>Armon</w:t>
      </w:r>
      <w:proofErr w:type="spellEnd"/>
      <w:r w:rsidRPr="00B2498C">
        <w:t xml:space="preserve"> [2021] encontraron </w:t>
      </w:r>
      <w:proofErr w:type="gramStart"/>
      <w:r w:rsidRPr="00B2498C">
        <w:t>que</w:t>
      </w:r>
      <w:proofErr w:type="gramEnd"/>
      <w:r w:rsidRPr="00B2498C">
        <w:t xml:space="preserve"> aunque las redes neuronales profundas han ganado popularidad, los métodos basados en árboles aún superan en desempeño a los modelos profundos en la mayoría de los </w:t>
      </w:r>
      <w:proofErr w:type="spellStart"/>
      <w:r w:rsidRPr="00B2498C">
        <w:t>datasets</w:t>
      </w:r>
      <w:proofErr w:type="spellEnd"/>
      <w:r w:rsidRPr="00B2498C">
        <w:t xml:space="preserve"> evaluados.</w:t>
      </w:r>
    </w:p>
    <w:p w14:paraId="0B9408F2" w14:textId="77777777" w:rsidR="00AC6717" w:rsidRPr="00B2498C" w:rsidRDefault="00AC6717" w:rsidP="00AC6717">
      <w:pPr>
        <w:spacing w:line="360" w:lineRule="auto"/>
        <w:ind w:firstLine="567"/>
        <w:jc w:val="both"/>
      </w:pPr>
      <w:r w:rsidRPr="00B2498C">
        <w:t xml:space="preserve">En otro estudio, </w:t>
      </w:r>
      <w:proofErr w:type="spellStart"/>
      <w:r w:rsidRPr="00B2498C">
        <w:t>Prokhorenkova</w:t>
      </w:r>
      <w:proofErr w:type="spellEnd"/>
      <w:r w:rsidRPr="00B2498C">
        <w:t xml:space="preserve"> et al. [2018] compararon </w:t>
      </w:r>
      <w:proofErr w:type="spellStart"/>
      <w:r w:rsidRPr="00B2498C">
        <w:t>CatBoost</w:t>
      </w:r>
      <w:proofErr w:type="spellEnd"/>
      <w:r w:rsidRPr="00B2498C">
        <w:t xml:space="preserve"> contra </w:t>
      </w:r>
      <w:proofErr w:type="spellStart"/>
      <w:r w:rsidRPr="00B2498C">
        <w:t>XGBoost</w:t>
      </w:r>
      <w:proofErr w:type="spellEnd"/>
      <w:r w:rsidRPr="00B2498C">
        <w:t xml:space="preserve"> y </w:t>
      </w:r>
      <w:proofErr w:type="spellStart"/>
      <w:r w:rsidRPr="00B2498C">
        <w:t>LightGBM</w:t>
      </w:r>
      <w:proofErr w:type="spellEnd"/>
      <w:r w:rsidRPr="00B2498C">
        <w:t xml:space="preserve"> en diversos conjuntos de datos, incluyendo algunos utilizados en las publicaciones originales de esos modelos. </w:t>
      </w:r>
      <w:proofErr w:type="spellStart"/>
      <w:r w:rsidRPr="00B2498C">
        <w:t>CatBoost</w:t>
      </w:r>
      <w:proofErr w:type="spellEnd"/>
      <w:r w:rsidRPr="00B2498C">
        <w:t xml:space="preserve"> obtuvo mejores resultados en la mayoría de los casos. Los autores atribuyen esto a las técnicas de </w:t>
      </w:r>
      <w:proofErr w:type="spellStart"/>
      <w:r w:rsidRPr="00B2498C">
        <w:t>boosting</w:t>
      </w:r>
      <w:proofErr w:type="spellEnd"/>
      <w:r w:rsidRPr="00B2498C">
        <w:t xml:space="preserve"> ordenado y codificación de variables categóricas.</w:t>
      </w:r>
    </w:p>
    <w:p w14:paraId="4927E648" w14:textId="77777777" w:rsidR="00AC6717" w:rsidRPr="00B2498C" w:rsidRDefault="00AC6717" w:rsidP="00AC6717">
      <w:pPr>
        <w:spacing w:line="360" w:lineRule="auto"/>
        <w:ind w:firstLine="567"/>
        <w:jc w:val="both"/>
      </w:pPr>
      <w:r w:rsidRPr="00B2498C">
        <w:t xml:space="preserve">Sin embargo, es importante notar que ningún modelo es consistentemente superior en todos los problemas. El desempeño puede variar dependiendo de las características de los datos y la medida de evaluación utilizada. En general, tanto </w:t>
      </w:r>
      <w:proofErr w:type="spellStart"/>
      <w:r w:rsidRPr="00B2498C">
        <w:t>XGBoost</w:t>
      </w:r>
      <w:proofErr w:type="spellEnd"/>
      <w:r w:rsidRPr="00B2498C">
        <w:t xml:space="preserve"> como </w:t>
      </w:r>
      <w:proofErr w:type="spellStart"/>
      <w:r w:rsidRPr="00B2498C">
        <w:t>CatBoost</w:t>
      </w:r>
      <w:proofErr w:type="spellEnd"/>
      <w:r w:rsidRPr="00B2498C">
        <w:t xml:space="preserve"> representan el estado del arte en </w:t>
      </w:r>
      <w:proofErr w:type="spellStart"/>
      <w:r w:rsidRPr="00B2498C">
        <w:t>boosting</w:t>
      </w:r>
      <w:proofErr w:type="spellEnd"/>
      <w:r w:rsidRPr="00B2498C">
        <w:t xml:space="preserve"> y son buenas opciones para datos tabulares.</w:t>
      </w:r>
    </w:p>
    <w:p w14:paraId="1ABA451B" w14:textId="77777777" w:rsidR="00AC6717" w:rsidRPr="00B2498C" w:rsidRDefault="00AC6717" w:rsidP="00AC6717">
      <w:pPr>
        <w:spacing w:line="360" w:lineRule="auto"/>
      </w:pPr>
      <w:r w:rsidRPr="00B2498C">
        <w:t>5.4.5. Consideraciones Prácticas</w:t>
      </w:r>
    </w:p>
    <w:p w14:paraId="76F9D454" w14:textId="77777777" w:rsidR="00AC6717" w:rsidRPr="00B2498C" w:rsidRDefault="00AC6717" w:rsidP="00AC6717">
      <w:pPr>
        <w:spacing w:line="360" w:lineRule="auto"/>
        <w:ind w:firstLine="567"/>
        <w:jc w:val="both"/>
      </w:pPr>
      <w:r w:rsidRPr="00B2498C">
        <w:t xml:space="preserve">Además del desempeño puro, hay varios factores que considerar al elegir un algoritmo de </w:t>
      </w:r>
      <w:proofErr w:type="spellStart"/>
      <w:r w:rsidRPr="00B2498C">
        <w:t>gradient</w:t>
      </w:r>
      <w:proofErr w:type="spellEnd"/>
      <w:r w:rsidRPr="00B2498C">
        <w:t xml:space="preserve"> </w:t>
      </w:r>
      <w:proofErr w:type="spellStart"/>
      <w:r w:rsidRPr="00B2498C">
        <w:t>boosting</w:t>
      </w:r>
      <w:proofErr w:type="spellEnd"/>
      <w:r w:rsidRPr="00B2498C">
        <w:t xml:space="preserve"> para un problema dado. Uno de ellos es el tiempo y poder de cómputo requeridos para ajustar los </w:t>
      </w:r>
      <w:proofErr w:type="spellStart"/>
      <w:r w:rsidRPr="00B2498C">
        <w:t>hiperparámetros</w:t>
      </w:r>
      <w:proofErr w:type="spellEnd"/>
      <w:r w:rsidRPr="00B2498C">
        <w:t xml:space="preserve"> del modelo. En los experimentos de </w:t>
      </w:r>
      <w:proofErr w:type="spellStart"/>
      <w:r w:rsidRPr="00B2498C">
        <w:t>Shwartz-Ziv</w:t>
      </w:r>
      <w:proofErr w:type="spellEnd"/>
      <w:r w:rsidRPr="00B2498C">
        <w:t xml:space="preserve"> y </w:t>
      </w:r>
      <w:proofErr w:type="spellStart"/>
      <w:r w:rsidRPr="00B2498C">
        <w:t>Armon</w:t>
      </w:r>
      <w:proofErr w:type="spellEnd"/>
      <w:r w:rsidRPr="00B2498C">
        <w:t xml:space="preserve"> [2021], </w:t>
      </w:r>
      <w:proofErr w:type="spellStart"/>
      <w:r w:rsidRPr="00B2498C">
        <w:t>XGBoost</w:t>
      </w:r>
      <w:proofErr w:type="spellEnd"/>
      <w:r w:rsidRPr="00B2498C">
        <w:t xml:space="preserve"> necesitó menos iteraciones de búsqueda de </w:t>
      </w:r>
      <w:proofErr w:type="spellStart"/>
      <w:r w:rsidRPr="00B2498C">
        <w:t>hiperparámetros</w:t>
      </w:r>
      <w:proofErr w:type="spellEnd"/>
      <w:r w:rsidRPr="00B2498C">
        <w:t xml:space="preserve"> que los modelos profundos para alcanzar resultados competitivos.</w:t>
      </w:r>
    </w:p>
    <w:p w14:paraId="69538B35" w14:textId="77777777" w:rsidR="00AC6717" w:rsidRPr="00B2498C" w:rsidRDefault="00AC6717" w:rsidP="00AC6717">
      <w:pPr>
        <w:spacing w:line="360" w:lineRule="auto"/>
        <w:ind w:firstLine="540"/>
        <w:jc w:val="both"/>
      </w:pPr>
      <w:r w:rsidRPr="00B2498C">
        <w:t xml:space="preserve">Otra consideración es la interpretabilidad del modelo. Aunque los modelos de </w:t>
      </w:r>
      <w:proofErr w:type="spellStart"/>
      <w:r w:rsidRPr="00B2498C">
        <w:t>gradient</w:t>
      </w:r>
      <w:proofErr w:type="spellEnd"/>
      <w:r w:rsidRPr="00B2498C">
        <w:t xml:space="preserve"> </w:t>
      </w:r>
      <w:proofErr w:type="spellStart"/>
      <w:r w:rsidRPr="00B2498C">
        <w:t>boosting</w:t>
      </w:r>
      <w:proofErr w:type="spellEnd"/>
      <w:r w:rsidRPr="00B2498C">
        <w:t xml:space="preserve"> son generalmente considerados de "caja negra", hay técnicas que permiten obtener una noción de la importancia de las características y relaciones </w:t>
      </w:r>
      <w:proofErr w:type="spellStart"/>
      <w:r w:rsidRPr="00B2498C">
        <w:t>learned</w:t>
      </w:r>
      <w:proofErr w:type="spellEnd"/>
      <w:r w:rsidRPr="00B2498C">
        <w:t>. Ejemplos incluyen los gráficos de importancia de características y diagramas de dependencia parcial [</w:t>
      </w:r>
      <w:proofErr w:type="spellStart"/>
      <w:r w:rsidRPr="00B2498C">
        <w:t>Prokhorenkova</w:t>
      </w:r>
      <w:proofErr w:type="spellEnd"/>
      <w:r w:rsidRPr="00B2498C">
        <w:t xml:space="preserve"> et al., 2018]. Sin embargo, la interpretabilidad de estos métodos es aún limitada comparada con modelos más simples como la regresión lineal.</w:t>
      </w:r>
    </w:p>
    <w:p w14:paraId="45105149" w14:textId="77777777" w:rsidR="00AC6717" w:rsidRPr="00B2498C" w:rsidRDefault="00AC6717" w:rsidP="00AC6717">
      <w:pPr>
        <w:tabs>
          <w:tab w:val="left" w:pos="600"/>
        </w:tabs>
        <w:spacing w:line="360" w:lineRule="auto"/>
        <w:ind w:firstLine="540"/>
        <w:jc w:val="both"/>
      </w:pPr>
      <w:r w:rsidRPr="00B2498C">
        <w:t xml:space="preserve">Finalmente, para conjuntos de datos con una alta proporción de características categóricas, el manejo eficiente de estas variables es clave. </w:t>
      </w:r>
      <w:proofErr w:type="spellStart"/>
      <w:r w:rsidRPr="00B2498C">
        <w:t>CatBoost</w:t>
      </w:r>
      <w:proofErr w:type="spellEnd"/>
      <w:r w:rsidRPr="00B2498C">
        <w:t xml:space="preserve"> tiene una ventaja en este sentido gracias a su algoritmo de TS. </w:t>
      </w:r>
      <w:proofErr w:type="spellStart"/>
      <w:r w:rsidRPr="00B2498C">
        <w:t>XGBoost</w:t>
      </w:r>
      <w:proofErr w:type="spellEnd"/>
      <w:r w:rsidRPr="00B2498C">
        <w:t xml:space="preserve"> provee funcionalidad para </w:t>
      </w:r>
      <w:r w:rsidRPr="00B2498C">
        <w:lastRenderedPageBreak/>
        <w:t xml:space="preserve">codificar variables categóricas, pero típicamente requiere preprocesamiento adicional como codificación </w:t>
      </w:r>
      <w:proofErr w:type="spellStart"/>
      <w:r w:rsidRPr="00B2498C">
        <w:t>one-hot</w:t>
      </w:r>
      <w:proofErr w:type="spellEnd"/>
      <w:r w:rsidRPr="00B2498C">
        <w:t xml:space="preserve"> para características de alta cardinalidad.</w:t>
      </w:r>
    </w:p>
    <w:p w14:paraId="1E0B3FFA" w14:textId="77777777" w:rsidR="00AC6717" w:rsidRDefault="00AC6717" w:rsidP="00AC6717">
      <w:pPr>
        <w:spacing w:line="360" w:lineRule="auto"/>
        <w:jc w:val="center"/>
        <w:rPr>
          <w:b/>
        </w:rPr>
      </w:pPr>
    </w:p>
    <w:p w14:paraId="30A22739" w14:textId="77777777" w:rsidR="00AC6717" w:rsidRDefault="00AC6717" w:rsidP="00AC6717">
      <w:pPr>
        <w:spacing w:line="360" w:lineRule="auto"/>
        <w:jc w:val="center"/>
      </w:pPr>
      <w:r w:rsidRPr="009A4032">
        <w:rPr>
          <w:b/>
        </w:rPr>
        <w:t>5.5. Ingeniería de Características para Predicción Financiera</w:t>
      </w:r>
    </w:p>
    <w:p w14:paraId="57C78189" w14:textId="77777777" w:rsidR="00AC6717" w:rsidRDefault="00AC6717" w:rsidP="00AC6717">
      <w:pPr>
        <w:spacing w:line="360" w:lineRule="auto"/>
        <w:ind w:firstLine="562"/>
        <w:jc w:val="both"/>
      </w:pPr>
      <w:r w:rsidRPr="2EE165E2">
        <w:t>La ingeniería de características es un componente importante en la predicción del movimiento de precios de acciones mediante el uso de indicadores técnicos y algoritmos de aprendizaje automático. Los indicadores técnicos son herramientas estadísticas derivadas de los datos históricos de precios y volúmenes que ayudan a analizar y predecir tendencias en el mercado de valores (</w:t>
      </w:r>
      <w:proofErr w:type="spellStart"/>
      <w:r w:rsidRPr="2EE165E2">
        <w:t>Vaiz</w:t>
      </w:r>
      <w:proofErr w:type="spellEnd"/>
      <w:r w:rsidRPr="2EE165E2">
        <w:t xml:space="preserve"> y </w:t>
      </w:r>
      <w:proofErr w:type="spellStart"/>
      <w:r w:rsidRPr="2EE165E2">
        <w:t>Ramaswami</w:t>
      </w:r>
      <w:proofErr w:type="spellEnd"/>
      <w:r w:rsidRPr="2EE165E2">
        <w:t>, 2016).</w:t>
      </w:r>
    </w:p>
    <w:p w14:paraId="1BC137B8" w14:textId="77777777" w:rsidR="00AC6717" w:rsidRDefault="00AC6717" w:rsidP="00AC6717">
      <w:pPr>
        <w:spacing w:line="360" w:lineRule="auto"/>
        <w:ind w:firstLine="562"/>
        <w:jc w:val="both"/>
      </w:pPr>
      <w:proofErr w:type="spellStart"/>
      <w:r w:rsidRPr="2EE165E2">
        <w:t>Vaiz</w:t>
      </w:r>
      <w:proofErr w:type="spellEnd"/>
      <w:r w:rsidRPr="2EE165E2">
        <w:t xml:space="preserve"> y </w:t>
      </w:r>
      <w:proofErr w:type="spellStart"/>
      <w:r w:rsidRPr="2EE165E2">
        <w:t>Ramaswami</w:t>
      </w:r>
      <w:proofErr w:type="spellEnd"/>
      <w:r w:rsidRPr="2EE165E2">
        <w:t xml:space="preserve"> (2016) utilizaron 22 indicadores técnicos diferentes en su estudio, agrupados en cuatro categorías principales: indicadores de tendencia, indicadores de momentum, indicadores de volatilidad e indicadores de volumen. Los autores señalan que "Muchos indicadores técnicos como Medias Móviles (SMA, EMA, WMA, VWMA, DEMA), Indicadores de Tendencia (MACD, ADX, TDI, </w:t>
      </w:r>
      <w:proofErr w:type="spellStart"/>
      <w:r w:rsidRPr="2EE165E2">
        <w:t>Aroon</w:t>
      </w:r>
      <w:proofErr w:type="spellEnd"/>
      <w:r w:rsidRPr="2EE165E2">
        <w:t>, VHF), indicadores de Momentum (Estocástico, RSI, SMI, WPR, CMO, CCI), indicadores de Volatilidad (</w:t>
      </w:r>
      <w:proofErr w:type="spellStart"/>
      <w:r w:rsidRPr="2EE165E2">
        <w:t>BBands</w:t>
      </w:r>
      <w:proofErr w:type="spellEnd"/>
      <w:r w:rsidRPr="2EE165E2">
        <w:t xml:space="preserve">, ATR, Canal </w:t>
      </w:r>
      <w:proofErr w:type="spellStart"/>
      <w:r w:rsidRPr="2EE165E2">
        <w:t>Dochain</w:t>
      </w:r>
      <w:proofErr w:type="spellEnd"/>
      <w:r w:rsidRPr="2EE165E2">
        <w:t>) e indicadores de Volumen (OBV, MFI, CMF) están disponibles para analizar el movimiento del precio de las acciones" (</w:t>
      </w:r>
      <w:proofErr w:type="spellStart"/>
      <w:r w:rsidRPr="2EE165E2">
        <w:t>Vaiz</w:t>
      </w:r>
      <w:proofErr w:type="spellEnd"/>
      <w:r w:rsidRPr="2EE165E2">
        <w:t xml:space="preserve"> y </w:t>
      </w:r>
      <w:proofErr w:type="spellStart"/>
      <w:r w:rsidRPr="2EE165E2">
        <w:t>Ramaswami</w:t>
      </w:r>
      <w:proofErr w:type="spellEnd"/>
      <w:r w:rsidRPr="2EE165E2">
        <w:t>, 2016).</w:t>
      </w:r>
    </w:p>
    <w:p w14:paraId="5E83443D" w14:textId="77777777" w:rsidR="00AC6717" w:rsidRDefault="00AC6717" w:rsidP="00AC6717">
      <w:pPr>
        <w:spacing w:line="360" w:lineRule="auto"/>
        <w:ind w:firstLine="562"/>
        <w:jc w:val="both"/>
      </w:pPr>
      <w:r w:rsidRPr="2EE165E2">
        <w:t>La selección y combinación de estos indicadores técnicos busca capturar diferentes aspectos del comportamiento del mercado. Por ejemplo, el RSI (Índice de Fuerza Relativa) puede indicar condiciones de sobrecompra o sobreventa, mientras que el MACD (Convergencia/Divergencia de Medias Móviles) puede señalar cambios en la tendencia (</w:t>
      </w:r>
      <w:proofErr w:type="spellStart"/>
      <w:r w:rsidRPr="2EE165E2">
        <w:t>Vaiz</w:t>
      </w:r>
      <w:proofErr w:type="spellEnd"/>
      <w:r w:rsidRPr="2EE165E2">
        <w:t xml:space="preserve"> y </w:t>
      </w:r>
      <w:proofErr w:type="spellStart"/>
      <w:r w:rsidRPr="2EE165E2">
        <w:t>Ramaswami</w:t>
      </w:r>
      <w:proofErr w:type="spellEnd"/>
      <w:r w:rsidRPr="2EE165E2">
        <w:t>, 2016).</w:t>
      </w:r>
    </w:p>
    <w:p w14:paraId="6CDDD36A" w14:textId="77777777" w:rsidR="00AC6717" w:rsidRDefault="00AC6717" w:rsidP="00AC6717">
      <w:pPr>
        <w:spacing w:line="360" w:lineRule="auto"/>
        <w:ind w:firstLine="562"/>
        <w:jc w:val="both"/>
      </w:pPr>
      <w:r w:rsidRPr="2EE165E2">
        <w:t xml:space="preserve">No todos los indicadores son igualmente relevantes para todas las situaciones de mercado. </w:t>
      </w:r>
      <w:proofErr w:type="spellStart"/>
      <w:r w:rsidRPr="2EE165E2">
        <w:t>Vaiz</w:t>
      </w:r>
      <w:proofErr w:type="spellEnd"/>
      <w:r w:rsidRPr="2EE165E2">
        <w:t xml:space="preserve"> y </w:t>
      </w:r>
      <w:proofErr w:type="spellStart"/>
      <w:r w:rsidRPr="2EE165E2">
        <w:t>Ramaswami</w:t>
      </w:r>
      <w:proofErr w:type="spellEnd"/>
      <w:r w:rsidRPr="2EE165E2">
        <w:t xml:space="preserve"> (2016) observaron que "Entre todos los 22 indicadores técnicos, </w:t>
      </w:r>
      <w:proofErr w:type="gramStart"/>
      <w:r w:rsidRPr="2EE165E2">
        <w:t>un máximo de 9 indicadores aparecieron</w:t>
      </w:r>
      <w:proofErr w:type="gramEnd"/>
      <w:r w:rsidRPr="2EE165E2">
        <w:t xml:space="preserve"> en el modelo de árbol de decisión y solo estos indicadores se utilizaron para pronosticar la tendencia".</w:t>
      </w:r>
    </w:p>
    <w:p w14:paraId="150481FF" w14:textId="77777777" w:rsidR="00AC6717" w:rsidRDefault="00AC6717" w:rsidP="00AC6717">
      <w:pPr>
        <w:spacing w:line="360" w:lineRule="auto"/>
        <w:ind w:firstLine="562"/>
        <w:jc w:val="both"/>
      </w:pPr>
      <w:r w:rsidRPr="2EE165E2">
        <w:t xml:space="preserve">Los autores encontraron que ciertos indicadores tenían un mayor impacto en la predicción: "Y también los indicadores Estocástico, Canal de </w:t>
      </w:r>
      <w:proofErr w:type="spellStart"/>
      <w:r w:rsidRPr="2EE165E2">
        <w:t>Donchian</w:t>
      </w:r>
      <w:proofErr w:type="spellEnd"/>
      <w:r w:rsidRPr="2EE165E2">
        <w:t xml:space="preserve">, </w:t>
      </w:r>
      <w:proofErr w:type="spellStart"/>
      <w:r w:rsidRPr="2EE165E2">
        <w:t>BBands</w:t>
      </w:r>
      <w:proofErr w:type="spellEnd"/>
      <w:r w:rsidRPr="2EE165E2">
        <w:t xml:space="preserve"> contribuyen más en la decisión de la tendencia" (</w:t>
      </w:r>
      <w:proofErr w:type="spellStart"/>
      <w:r w:rsidRPr="2EE165E2">
        <w:t>Vaiz</w:t>
      </w:r>
      <w:proofErr w:type="spellEnd"/>
      <w:r w:rsidRPr="2EE165E2">
        <w:t xml:space="preserve"> y </w:t>
      </w:r>
      <w:proofErr w:type="spellStart"/>
      <w:r w:rsidRPr="2EE165E2">
        <w:t>Ramaswami</w:t>
      </w:r>
      <w:proofErr w:type="spellEnd"/>
      <w:r w:rsidRPr="2EE165E2">
        <w:t>, 2016). Esta observación sugiere que algunos indicadores técnicos pueden tener un poder predictivo superior en el proceso de ingeniería de características.</w:t>
      </w:r>
    </w:p>
    <w:p w14:paraId="68FBCA1B" w14:textId="77777777" w:rsidR="00AC6717" w:rsidRDefault="00AC6717" w:rsidP="00AC6717">
      <w:pPr>
        <w:spacing w:line="360" w:lineRule="auto"/>
        <w:ind w:firstLine="562"/>
        <w:jc w:val="both"/>
      </w:pPr>
      <w:r w:rsidRPr="2EE165E2">
        <w:t xml:space="preserve">La ingeniería de características también implica la transformación y combinación de indicadores para crear nuevas características. Por ejemplo, </w:t>
      </w:r>
      <w:proofErr w:type="spellStart"/>
      <w:r w:rsidRPr="2EE165E2">
        <w:t>Vaiz</w:t>
      </w:r>
      <w:proofErr w:type="spellEnd"/>
      <w:r w:rsidRPr="2EE165E2">
        <w:t xml:space="preserve"> y </w:t>
      </w:r>
      <w:proofErr w:type="spellStart"/>
      <w:r w:rsidRPr="2EE165E2">
        <w:t>Ramaswami</w:t>
      </w:r>
      <w:proofErr w:type="spellEnd"/>
      <w:r w:rsidRPr="2EE165E2">
        <w:t xml:space="preserve"> </w:t>
      </w:r>
      <w:r w:rsidRPr="2EE165E2">
        <w:lastRenderedPageBreak/>
        <w:t>(2016) utilizaron la diferencia entre el precio de cierre y el precio de apertura como una variable de clasificación binaria para predecir la acción de trading (compra/venta).</w:t>
      </w:r>
    </w:p>
    <w:p w14:paraId="1E857009" w14:textId="77777777" w:rsidR="00AC6717" w:rsidRDefault="00AC6717" w:rsidP="00AC6717">
      <w:pPr>
        <w:spacing w:line="360" w:lineRule="auto"/>
        <w:jc w:val="center"/>
      </w:pPr>
      <w:r w:rsidRPr="009A4032">
        <w:rPr>
          <w:b/>
        </w:rPr>
        <w:t>5.6. Construcción de Portafolios Basados en Predicciones de Machine Learning</w:t>
      </w:r>
    </w:p>
    <w:p w14:paraId="775D1979" w14:textId="1E27A8E5" w:rsidR="00AC6717" w:rsidRPr="009A4032" w:rsidRDefault="00AC6717" w:rsidP="000B3067">
      <w:pPr>
        <w:spacing w:line="360" w:lineRule="auto"/>
      </w:pPr>
    </w:p>
    <w:p w14:paraId="49A73F7A" w14:textId="77777777" w:rsidR="00AC6717" w:rsidRDefault="00AC6717" w:rsidP="00AC6717">
      <w:pPr>
        <w:spacing w:line="360" w:lineRule="auto"/>
        <w:jc w:val="center"/>
      </w:pPr>
      <w:r w:rsidRPr="009A4032">
        <w:rPr>
          <w:b/>
        </w:rPr>
        <w:t>5.7. Evaluación de Estrategias de Trading Algorítmico</w:t>
      </w:r>
    </w:p>
    <w:p w14:paraId="303B0336" w14:textId="77777777" w:rsidR="00AC6717" w:rsidRDefault="00AC6717" w:rsidP="00AC6717">
      <w:pPr>
        <w:spacing w:line="360" w:lineRule="auto"/>
      </w:pPr>
      <w:r w:rsidRPr="009A4032">
        <w:t xml:space="preserve">5.7.1. Backtesting de Estrategias Basadas en Quintiles </w:t>
      </w:r>
    </w:p>
    <w:p w14:paraId="62F70AED" w14:textId="77777777" w:rsidR="00AC6717" w:rsidRDefault="00AC6717" w:rsidP="00AC6717">
      <w:pPr>
        <w:spacing w:line="360" w:lineRule="auto"/>
      </w:pPr>
      <w:r w:rsidRPr="009A4032">
        <w:t xml:space="preserve">5.7.2. Métricas de Rendimiento: Sharpe Ratio e Information Ratio </w:t>
      </w:r>
    </w:p>
    <w:p w14:paraId="3A6B1DE9" w14:textId="77777777" w:rsidR="00AC6717" w:rsidRDefault="00AC6717" w:rsidP="00AC6717">
      <w:pPr>
        <w:spacing w:line="360" w:lineRule="auto"/>
      </w:pPr>
      <w:r w:rsidRPr="73F7DFAF">
        <w:t>El Sharpe Ratio y el Information Ratio son dos de las métricas más utilizadas para evaluar el rendimiento de carteras de inversión, cada una con sus propias características y limitaciones.</w:t>
      </w:r>
    </w:p>
    <w:p w14:paraId="3A673821" w14:textId="77777777" w:rsidR="00AC6717" w:rsidRDefault="00AC6717" w:rsidP="00AC6717">
      <w:pPr>
        <w:spacing w:line="360" w:lineRule="auto"/>
        <w:ind w:firstLine="562"/>
      </w:pPr>
      <w:r w:rsidRPr="73F7DFAF">
        <w:t>El Sharpe Ratio, desarrollado por William Sharpe en 1964, mide el exceso de rendimiento de una inversión por unidad de riesgo (Sharma, 2018). Se calcula como:</w:t>
      </w:r>
    </w:p>
    <w:p w14:paraId="24E12494" w14:textId="77777777" w:rsidR="00AC6717" w:rsidRDefault="00AC6717" w:rsidP="00AC6717">
      <w:pPr>
        <w:spacing w:line="360" w:lineRule="auto"/>
        <w:jc w:val="center"/>
      </w:pPr>
      <w:r w:rsidRPr="73F7DFAF">
        <w:t xml:space="preserve">Sharpe Ratio = (Rp - Rf) / </w:t>
      </w:r>
      <w:proofErr w:type="spellStart"/>
      <w:r w:rsidRPr="73F7DFAF">
        <w:t>σp</w:t>
      </w:r>
      <w:proofErr w:type="spellEnd"/>
    </w:p>
    <w:p w14:paraId="6C450C64" w14:textId="77777777" w:rsidR="00AC6717" w:rsidRDefault="00AC6717" w:rsidP="00AC6717">
      <w:pPr>
        <w:spacing w:line="360" w:lineRule="auto"/>
      </w:pPr>
      <w:r w:rsidRPr="73F7DFAF">
        <w:t xml:space="preserve">Donde: Rp = Rendimiento de la cartera Rf = Tasa libre de riesgo </w:t>
      </w:r>
      <w:proofErr w:type="spellStart"/>
      <w:r w:rsidRPr="73F7DFAF">
        <w:t>σp</w:t>
      </w:r>
      <w:proofErr w:type="spellEnd"/>
      <w:r w:rsidRPr="73F7DFAF">
        <w:t xml:space="preserve"> = Desviación estándar de los rendimientos de la cartera</w:t>
      </w:r>
    </w:p>
    <w:p w14:paraId="2FF9553C" w14:textId="77777777" w:rsidR="00AC6717" w:rsidRDefault="00AC6717" w:rsidP="00AC6717">
      <w:pPr>
        <w:spacing w:line="360" w:lineRule="auto"/>
        <w:ind w:firstLine="562"/>
      </w:pPr>
      <w:r w:rsidRPr="73F7DFAF">
        <w:t xml:space="preserve">Un Sharpe Ratio más alto indica un mejor rendimiento ajustado por riesgo. Sin embargo, </w:t>
      </w:r>
      <w:bookmarkStart w:id="2" w:name="_Int_ms2vjlV3"/>
      <w:proofErr w:type="gramStart"/>
      <w:r w:rsidRPr="73F7DFAF">
        <w:t>este ratio</w:t>
      </w:r>
      <w:bookmarkEnd w:id="2"/>
      <w:proofErr w:type="gramEnd"/>
      <w:r w:rsidRPr="73F7DFAF">
        <w:t xml:space="preserve"> tiene algunas limitaciones importantes. Sharma (2018) señala que "el Sharpe Ratio no está diseñado para medir inversiones que se espera tengan rendimientos asimétricos". Además, es muy sensible a muestras pequeñas, por lo que el período de tiempo utilizado en la medición es crucial.</w:t>
      </w:r>
    </w:p>
    <w:p w14:paraId="0B47B0D9" w14:textId="77777777" w:rsidR="00AC6717" w:rsidRDefault="00AC6717" w:rsidP="00AC6717">
      <w:pPr>
        <w:spacing w:line="360" w:lineRule="auto"/>
        <w:ind w:firstLine="562"/>
      </w:pPr>
      <w:r w:rsidRPr="73F7DFAF">
        <w:t>Por otro lado, el Information Ratio mide el exceso de rendimiento de una cartera con relación a un benchmark, por unidad de riesgo de desviación del benchmark (tracking error). Se calcula como:</w:t>
      </w:r>
    </w:p>
    <w:p w14:paraId="58582456" w14:textId="77777777" w:rsidR="00AC6717" w:rsidRDefault="00AC6717" w:rsidP="00AC6717">
      <w:pPr>
        <w:spacing w:line="360" w:lineRule="auto"/>
        <w:jc w:val="center"/>
      </w:pPr>
      <w:r w:rsidRPr="73F7DFAF">
        <w:t>Information Ratio = (Rp - Rb) / TE</w:t>
      </w:r>
    </w:p>
    <w:p w14:paraId="4876D73A" w14:textId="77777777" w:rsidR="00AC6717" w:rsidRDefault="00AC6717" w:rsidP="00AC6717">
      <w:pPr>
        <w:spacing w:line="360" w:lineRule="auto"/>
      </w:pPr>
      <w:r w:rsidRPr="73F7DFAF">
        <w:t>Donde: Rp = Rendimiento de la cartera Rb = Rendimiento del benchmark TE = Tracking error (desviación estándar de la diferencia entre los rendimientos de la cartera y el benchmark)</w:t>
      </w:r>
    </w:p>
    <w:p w14:paraId="122B99B3" w14:textId="77777777" w:rsidR="00AC6717" w:rsidRDefault="00AC6717" w:rsidP="00AC6717">
      <w:pPr>
        <w:spacing w:line="360" w:lineRule="auto"/>
        <w:ind w:firstLine="562"/>
      </w:pPr>
      <w:r w:rsidRPr="73F7DFAF">
        <w:t xml:space="preserve">Según </w:t>
      </w:r>
      <w:proofErr w:type="spellStart"/>
      <w:r w:rsidRPr="73F7DFAF">
        <w:t>Grinold</w:t>
      </w:r>
      <w:proofErr w:type="spellEnd"/>
      <w:r w:rsidRPr="73F7DFAF">
        <w:t xml:space="preserve"> y Kahn (1999), citados por Sharma (2018), "un IR mayor que </w:t>
      </w:r>
      <w:bookmarkStart w:id="3" w:name="_Int_CVG7HpXO"/>
      <w:proofErr w:type="gramStart"/>
      <w:r w:rsidRPr="73F7DFAF">
        <w:t>cero muestra</w:t>
      </w:r>
      <w:bookmarkEnd w:id="3"/>
      <w:proofErr w:type="gramEnd"/>
      <w:r w:rsidRPr="73F7DFAF">
        <w:t xml:space="preserve"> que un gestor ha actuado en el 50% superior de la población de gestores de carteras activas". Un Information Ratio de 0.5 o superior se considera muy bueno, mientras que 1.0 es excepcional.</w:t>
      </w:r>
    </w:p>
    <w:p w14:paraId="2DB42266" w14:textId="77777777" w:rsidR="00AC6717" w:rsidRDefault="00AC6717" w:rsidP="00AC6717">
      <w:pPr>
        <w:spacing w:line="360" w:lineRule="auto"/>
        <w:ind w:firstLine="562"/>
      </w:pPr>
      <w:bookmarkStart w:id="4" w:name="_Int_fH7jsTGv"/>
      <w:proofErr w:type="gramStart"/>
      <w:r w:rsidRPr="73F7DFAF">
        <w:t>Ambos ratios</w:t>
      </w:r>
      <w:bookmarkEnd w:id="4"/>
      <w:proofErr w:type="gramEnd"/>
      <w:r w:rsidRPr="73F7DFAF">
        <w:t xml:space="preserve"> tienen sus limitaciones. Sharma (2018) indica que "la simplicidad de </w:t>
      </w:r>
      <w:bookmarkStart w:id="5" w:name="_Int_eShkqqlC"/>
      <w:proofErr w:type="gramStart"/>
      <w:r w:rsidRPr="73F7DFAF">
        <w:t>los dos ratios</w:t>
      </w:r>
      <w:bookmarkEnd w:id="5"/>
      <w:proofErr w:type="gramEnd"/>
      <w:r w:rsidRPr="73F7DFAF">
        <w:t xml:space="preserve"> conduce a su mayor debilidad". Por ejemplo, ninguno de los dos es </w:t>
      </w:r>
      <w:r w:rsidRPr="73F7DFAF">
        <w:lastRenderedPageBreak/>
        <w:t>aplicable en situaciones asimétricas de rendimientos. Además, el Information Ratio puede ser engañoso cuando los rendimientos en exceso son negativos.</w:t>
      </w:r>
    </w:p>
    <w:p w14:paraId="729869A2" w14:textId="77777777" w:rsidR="00AC6717" w:rsidRDefault="00AC6717" w:rsidP="00AC6717">
      <w:pPr>
        <w:spacing w:line="360" w:lineRule="auto"/>
        <w:ind w:firstLine="562"/>
      </w:pPr>
      <w:r w:rsidRPr="73F7DFAF">
        <w:t xml:space="preserve">Es importante considerar que </w:t>
      </w:r>
      <w:bookmarkStart w:id="6" w:name="_Int_Ir7DwCuj"/>
      <w:proofErr w:type="gramStart"/>
      <w:r w:rsidRPr="73F7DFAF">
        <w:t>estos ratios</w:t>
      </w:r>
      <w:bookmarkEnd w:id="6"/>
      <w:proofErr w:type="gramEnd"/>
      <w:r w:rsidRPr="73F7DFAF">
        <w:t xml:space="preserve"> deben utilizarse en conjunto con otras métricas y análisis para obtener una visión completa del rendimiento de una cartera. Como concluye Sharma (2018), "ningún modelo o teoría puede usarse como medida absoluta" y la aplicación de estas fórmulas y ratios "debería basarse en la situación más que en convenciones forzadas".</w:t>
      </w:r>
    </w:p>
    <w:p w14:paraId="5C197019" w14:textId="77777777" w:rsidR="00AC6717" w:rsidRDefault="00AC6717" w:rsidP="00AC6717">
      <w:pPr>
        <w:spacing w:line="360" w:lineRule="auto"/>
        <w:ind w:firstLine="562"/>
      </w:pPr>
      <w:bookmarkStart w:id="7" w:name="_Int_HkhERjJm"/>
      <w:proofErr w:type="gramStart"/>
      <w:r w:rsidRPr="73F7DFAF">
        <w:t>Ambos ratios</w:t>
      </w:r>
      <w:bookmarkEnd w:id="7"/>
      <w:proofErr w:type="gramEnd"/>
      <w:r w:rsidRPr="73F7DFAF">
        <w:t xml:space="preserve"> ofrecen valiosas perspectivas sobre el rendimiento de las carteras de inversión. El Sharpe Ratio es útil para comparar inversiones en una base relativa. Según Kidd (2011), citado por Sharma (2018), "la inversión con el Sharpe Ratio más alto es la inversión preferida". Esto proporciona a los inversores una herramienta sencilla pero efectiva para evaluar diferentes opciones de inversión.</w:t>
      </w:r>
    </w:p>
    <w:p w14:paraId="56EE5FD9" w14:textId="77777777" w:rsidR="00AC6717" w:rsidRDefault="00AC6717" w:rsidP="00AC6717">
      <w:pPr>
        <w:spacing w:line="360" w:lineRule="auto"/>
        <w:ind w:firstLine="562"/>
      </w:pPr>
      <w:r w:rsidRPr="73F7DFAF">
        <w:t>Por su parte, el Information Ratio es especialmente valioso para evaluar el desempeño de los gestores de fondos activos. Blatt (2004), citado por Sharma (2018), destaca que "el IR en sí mismo define las oportunidades disponibles para el gestor, mientras que el cuadrado del IR muestra la capacidad del gestor para añadir valor". Esto permite a los inversores no solo evaluar el rendimiento, sino también identificar a los gestores más hábiles.</w:t>
      </w:r>
    </w:p>
    <w:p w14:paraId="11DFEFD6" w14:textId="77777777" w:rsidR="00AC6717" w:rsidRDefault="00AC6717" w:rsidP="00AC6717">
      <w:pPr>
        <w:spacing w:line="360" w:lineRule="auto"/>
        <w:ind w:firstLine="562"/>
      </w:pPr>
      <w:r w:rsidRPr="73F7DFAF">
        <w:t xml:space="preserve">Como señala Sharma (2018), la aplicación de estas fórmulas y ratios debería adaptarse a cada situación específica. Al combinar </w:t>
      </w:r>
      <w:bookmarkStart w:id="8" w:name="_Int_hJ90RxiD"/>
      <w:proofErr w:type="gramStart"/>
      <w:r w:rsidRPr="73F7DFAF">
        <w:t>estos ratios</w:t>
      </w:r>
      <w:bookmarkEnd w:id="8"/>
      <w:proofErr w:type="gramEnd"/>
      <w:r w:rsidRPr="73F7DFAF">
        <w:t xml:space="preserve"> con otros análisis y métricas, los inversores pueden obtener una comprensión más completa y matizada del rendimiento de sus inversiones, lo que les permite tomar decisiones más informadas y estratégicas.</w:t>
      </w:r>
    </w:p>
    <w:p w14:paraId="57009CB6" w14:textId="77777777" w:rsidR="00AC6717" w:rsidRDefault="00AC6717" w:rsidP="00AC6717">
      <w:pPr>
        <w:spacing w:line="360" w:lineRule="auto"/>
      </w:pPr>
    </w:p>
    <w:p w14:paraId="3EBCAB08" w14:textId="77777777" w:rsidR="00881D21" w:rsidRPr="002E1CA4" w:rsidRDefault="00881D21">
      <w:pPr>
        <w:spacing w:line="480" w:lineRule="auto"/>
        <w:jc w:val="center"/>
        <w:rPr>
          <w:b/>
        </w:rPr>
      </w:pPr>
    </w:p>
    <w:p w14:paraId="66FA15CA" w14:textId="77777777" w:rsidR="00881D21" w:rsidRPr="002E1CA4" w:rsidRDefault="00881D21">
      <w:pPr>
        <w:spacing w:line="480" w:lineRule="auto"/>
        <w:jc w:val="center"/>
        <w:rPr>
          <w:b/>
        </w:rPr>
      </w:pPr>
    </w:p>
    <w:p w14:paraId="2322D5F4" w14:textId="77777777" w:rsidR="00881D21" w:rsidRPr="002E1CA4" w:rsidRDefault="00881D21">
      <w:pPr>
        <w:spacing w:line="480" w:lineRule="auto"/>
        <w:jc w:val="center"/>
        <w:rPr>
          <w:b/>
        </w:rPr>
      </w:pPr>
    </w:p>
    <w:p w14:paraId="59085B83" w14:textId="77777777" w:rsidR="000B3067" w:rsidRDefault="000B3067">
      <w:pPr>
        <w:jc w:val="center"/>
        <w:rPr>
          <w:b/>
        </w:rPr>
      </w:pPr>
    </w:p>
    <w:p w14:paraId="4379A6A3" w14:textId="77777777" w:rsidR="000B3067" w:rsidRDefault="000B3067">
      <w:pPr>
        <w:jc w:val="center"/>
        <w:rPr>
          <w:b/>
        </w:rPr>
      </w:pPr>
    </w:p>
    <w:p w14:paraId="23D63007" w14:textId="77777777" w:rsidR="000B3067" w:rsidRDefault="000B3067">
      <w:pPr>
        <w:jc w:val="center"/>
        <w:rPr>
          <w:b/>
        </w:rPr>
      </w:pPr>
    </w:p>
    <w:p w14:paraId="1138BE2F" w14:textId="77777777" w:rsidR="000B3067" w:rsidRDefault="000B3067">
      <w:pPr>
        <w:jc w:val="center"/>
        <w:rPr>
          <w:b/>
        </w:rPr>
      </w:pPr>
    </w:p>
    <w:p w14:paraId="0F267AED" w14:textId="77777777" w:rsidR="000B3067" w:rsidRDefault="000B3067">
      <w:pPr>
        <w:jc w:val="center"/>
        <w:rPr>
          <w:b/>
        </w:rPr>
      </w:pPr>
    </w:p>
    <w:p w14:paraId="79C4BF4B" w14:textId="77777777" w:rsidR="000B3067" w:rsidRDefault="000B3067">
      <w:pPr>
        <w:jc w:val="center"/>
        <w:rPr>
          <w:b/>
        </w:rPr>
      </w:pPr>
    </w:p>
    <w:p w14:paraId="0A76B6E1" w14:textId="52469B68" w:rsidR="00881D21" w:rsidRPr="002E1CA4" w:rsidRDefault="00102041">
      <w:pPr>
        <w:jc w:val="center"/>
        <w:rPr>
          <w:b/>
        </w:rPr>
      </w:pPr>
      <w:r w:rsidRPr="002E1CA4">
        <w:rPr>
          <w:b/>
        </w:rPr>
        <w:t>CAPÍTULO 6</w:t>
      </w:r>
    </w:p>
    <w:p w14:paraId="075282ED" w14:textId="77777777" w:rsidR="00881D21" w:rsidRPr="002E1CA4" w:rsidRDefault="00881D21"/>
    <w:p w14:paraId="03755F85" w14:textId="77777777" w:rsidR="00881D21" w:rsidRPr="002E1CA4" w:rsidRDefault="00102041">
      <w:pPr>
        <w:pBdr>
          <w:bottom w:val="single" w:sz="12" w:space="1" w:color="000000"/>
        </w:pBdr>
        <w:jc w:val="center"/>
        <w:rPr>
          <w:b/>
        </w:rPr>
      </w:pPr>
      <w:r w:rsidRPr="002E1CA4">
        <w:rPr>
          <w:b/>
        </w:rPr>
        <w:lastRenderedPageBreak/>
        <w:t>METODOLOGÍA</w:t>
      </w:r>
    </w:p>
    <w:p w14:paraId="48DE253E" w14:textId="77777777" w:rsidR="00881D21" w:rsidRPr="002E1CA4" w:rsidRDefault="00881D21">
      <w:pPr>
        <w:jc w:val="center"/>
        <w:rPr>
          <w:b/>
        </w:rPr>
      </w:pPr>
    </w:p>
    <w:p w14:paraId="0D4790A5" w14:textId="77777777" w:rsidR="00881D21" w:rsidRPr="002E1CA4" w:rsidRDefault="00881D21"/>
    <w:p w14:paraId="0D84CA9C" w14:textId="016C29D2" w:rsidR="00881D21" w:rsidRPr="002E1CA4" w:rsidRDefault="00102041" w:rsidP="00AB7601">
      <w:pPr>
        <w:keepNext/>
        <w:keepLines/>
        <w:spacing w:after="117" w:line="360" w:lineRule="auto"/>
        <w:ind w:right="49" w:firstLine="567"/>
        <w:jc w:val="both"/>
      </w:pPr>
      <w:r w:rsidRPr="002E1CA4">
        <w:t>En esta sección se detalla la metodología empleada para abordar el problema de predicción de quintiles de rendimiento de acciones en la industria de semiconductores. Se adopta un enfoque cuantitativo, utilizando modelos de aprendizaje automático para analizar datos financieros y generar predicciones.</w:t>
      </w:r>
    </w:p>
    <w:p w14:paraId="5CB2E7D9" w14:textId="77777777" w:rsidR="002264B7" w:rsidRPr="002E1CA4" w:rsidRDefault="002264B7">
      <w:pPr>
        <w:keepNext/>
        <w:keepLines/>
        <w:spacing w:after="117" w:line="259" w:lineRule="auto"/>
        <w:ind w:right="49" w:hanging="10"/>
        <w:jc w:val="center"/>
        <w:rPr>
          <w:b/>
        </w:rPr>
      </w:pPr>
    </w:p>
    <w:p w14:paraId="2D2311A5" w14:textId="23ADC6DE" w:rsidR="00881D21" w:rsidRPr="002E1CA4" w:rsidRDefault="00102041">
      <w:pPr>
        <w:keepNext/>
        <w:keepLines/>
        <w:spacing w:after="117" w:line="259" w:lineRule="auto"/>
        <w:ind w:right="49" w:hanging="10"/>
        <w:jc w:val="center"/>
        <w:rPr>
          <w:b/>
          <w:color w:val="000000"/>
        </w:rPr>
      </w:pPr>
      <w:r w:rsidRPr="002E1CA4">
        <w:rPr>
          <w:b/>
          <w:color w:val="000000"/>
        </w:rPr>
        <w:t xml:space="preserve">6.1 </w:t>
      </w:r>
      <w:r w:rsidRPr="002E1CA4">
        <w:rPr>
          <w:b/>
        </w:rPr>
        <w:t>Datos</w:t>
      </w:r>
    </w:p>
    <w:p w14:paraId="3568AA61" w14:textId="77777777" w:rsidR="00881D21" w:rsidRPr="002E1CA4" w:rsidRDefault="00102041">
      <w:pPr>
        <w:spacing w:after="115" w:line="259" w:lineRule="auto"/>
        <w:ind w:right="49"/>
        <w:rPr>
          <w:color w:val="000000"/>
        </w:rPr>
      </w:pPr>
      <w:r w:rsidRPr="002E1CA4">
        <w:rPr>
          <w:b/>
          <w:color w:val="000000"/>
        </w:rPr>
        <w:t xml:space="preserve"> </w:t>
      </w:r>
    </w:p>
    <w:p w14:paraId="0C61E49A" w14:textId="269CC4D5" w:rsidR="00881D21" w:rsidRPr="002E1CA4" w:rsidRDefault="00102041" w:rsidP="1208528E">
      <w:pPr>
        <w:spacing w:line="360" w:lineRule="auto"/>
        <w:ind w:firstLine="567"/>
        <w:jc w:val="both"/>
      </w:pPr>
      <w:r w:rsidRPr="002E1CA4">
        <w:t>Los datos utilizados en este estudio consisten en series de tiempo financieras de 3</w:t>
      </w:r>
      <w:r w:rsidR="000E5AF3" w:rsidRPr="002E1CA4">
        <w:t>2</w:t>
      </w:r>
      <w:r w:rsidRPr="002E1CA4">
        <w:t xml:space="preserve"> acciones (ver Apéndice A), abarcando desde el año </w:t>
      </w:r>
      <w:r w:rsidR="00BF0A2C" w:rsidRPr="002E1CA4">
        <w:t>2004</w:t>
      </w:r>
      <w:r w:rsidRPr="002E1CA4">
        <w:t xml:space="preserve"> hasta el 202</w:t>
      </w:r>
      <w:r w:rsidR="00BF0A2C" w:rsidRPr="002E1CA4">
        <w:t>4</w:t>
      </w:r>
      <w:r w:rsidRPr="002E1CA4">
        <w:t>. Estos datos fueron obtenidos de Yahoo Finance a través del paquete quantmod en R.</w:t>
      </w:r>
      <w:r w:rsidR="00B0743B" w:rsidRPr="002E1CA4">
        <w:t xml:space="preserve"> </w:t>
      </w:r>
      <w:r w:rsidRPr="002E1CA4">
        <w:t>El proceso de extracción de datos involucró la descarga de precios de cierre ajustados, volumen de negociación y otras variables relevantes. Posteriormente, se realizó una limpieza y preprocesamiento de los datos, que incluyó:</w:t>
      </w:r>
    </w:p>
    <w:p w14:paraId="460AFBEC" w14:textId="77777777" w:rsidR="00B0743B" w:rsidRPr="002E1CA4" w:rsidRDefault="00B0743B" w:rsidP="00B0743B">
      <w:pPr>
        <w:spacing w:line="360" w:lineRule="auto"/>
      </w:pPr>
    </w:p>
    <w:p w14:paraId="33DE4C38" w14:textId="77777777" w:rsidR="00B0743B" w:rsidRPr="002E1CA4" w:rsidRDefault="00B0743B" w:rsidP="00B0743B">
      <w:pPr>
        <w:pStyle w:val="ListParagraph"/>
        <w:numPr>
          <w:ilvl w:val="0"/>
          <w:numId w:val="5"/>
        </w:numPr>
        <w:spacing w:line="360" w:lineRule="auto"/>
        <w:jc w:val="both"/>
      </w:pPr>
      <w:r w:rsidRPr="002E1CA4">
        <w:t>Eliminación de filas con valores faltantes.</w:t>
      </w:r>
    </w:p>
    <w:p w14:paraId="721EDE4D" w14:textId="77777777" w:rsidR="00B0743B" w:rsidRPr="002E1CA4" w:rsidRDefault="00B0743B" w:rsidP="00B0743B">
      <w:pPr>
        <w:pStyle w:val="ListParagraph"/>
        <w:numPr>
          <w:ilvl w:val="0"/>
          <w:numId w:val="5"/>
        </w:numPr>
        <w:spacing w:line="360" w:lineRule="auto"/>
        <w:jc w:val="both"/>
      </w:pPr>
      <w:r w:rsidRPr="002E1CA4">
        <w:t>Interpolación para completar huecos en los datos mediante una función de interpolación personalizada, la cual introduce ruido aleatorio en el proceso de interpolación para evitar sesgos.</w:t>
      </w:r>
    </w:p>
    <w:p w14:paraId="254327A3" w14:textId="7C38EC82" w:rsidR="00B0743B" w:rsidRPr="002E1CA4" w:rsidRDefault="00B0743B" w:rsidP="00B0743B">
      <w:pPr>
        <w:pStyle w:val="ListParagraph"/>
        <w:numPr>
          <w:ilvl w:val="0"/>
          <w:numId w:val="5"/>
        </w:numPr>
        <w:spacing w:line="360" w:lineRule="auto"/>
        <w:jc w:val="both"/>
      </w:pPr>
      <w:r w:rsidRPr="002E1CA4">
        <w:t xml:space="preserve">Cálculo de características adicionales, como retornos diarios y volatilidad, utilizando funciones personalizadas y el paquete </w:t>
      </w:r>
      <w:r w:rsidRPr="002E1CA4">
        <w:rPr>
          <w:i/>
          <w:iCs/>
        </w:rPr>
        <w:t>Technical Trading Rules</w:t>
      </w:r>
      <w:r w:rsidR="001A47E2" w:rsidRPr="002E1CA4">
        <w:t xml:space="preserve"> (TTR)</w:t>
      </w:r>
      <w:r w:rsidRPr="002E1CA4">
        <w:t>, que proporciona una amplia gama de indicadores técnicos para el análisis de mercados financieros.</w:t>
      </w:r>
    </w:p>
    <w:p w14:paraId="1C544ED7" w14:textId="1CB6D2A8" w:rsidR="00B0743B" w:rsidRPr="002E1CA4" w:rsidRDefault="00B0743B" w:rsidP="00B0743B">
      <w:pPr>
        <w:pStyle w:val="ListParagraph"/>
        <w:numPr>
          <w:ilvl w:val="0"/>
          <w:numId w:val="5"/>
        </w:numPr>
        <w:spacing w:line="360" w:lineRule="auto"/>
        <w:jc w:val="both"/>
      </w:pPr>
      <w:r w:rsidRPr="002E1CA4">
        <w:t>Estandarización de las características numéricas, para asegurar que tengan media cero y desviación estándar uno.</w:t>
      </w:r>
    </w:p>
    <w:p w14:paraId="228B92E2" w14:textId="731100D6" w:rsidR="00881D21" w:rsidRPr="002E1CA4" w:rsidRDefault="00B0743B" w:rsidP="003C53EB">
      <w:pPr>
        <w:pStyle w:val="ListParagraph"/>
        <w:numPr>
          <w:ilvl w:val="0"/>
          <w:numId w:val="5"/>
        </w:numPr>
        <w:spacing w:line="360" w:lineRule="auto"/>
        <w:jc w:val="both"/>
      </w:pPr>
      <w:r w:rsidRPr="002E1CA4">
        <w:t>Imputación de valores faltantes en las características con la mediana de cada característica.</w:t>
      </w:r>
    </w:p>
    <w:p w14:paraId="7D692922" w14:textId="1F1EDAC2" w:rsidR="00881D21" w:rsidRPr="002E1CA4" w:rsidRDefault="00102041" w:rsidP="00B0743B">
      <w:pPr>
        <w:keepNext/>
        <w:keepLines/>
        <w:spacing w:after="117" w:line="259" w:lineRule="auto"/>
        <w:ind w:right="49" w:hanging="10"/>
        <w:jc w:val="center"/>
        <w:rPr>
          <w:b/>
          <w:color w:val="000000"/>
        </w:rPr>
      </w:pPr>
      <w:r w:rsidRPr="002E1CA4">
        <w:rPr>
          <w:b/>
          <w:color w:val="000000"/>
        </w:rPr>
        <w:lastRenderedPageBreak/>
        <w:t xml:space="preserve">6.2 </w:t>
      </w:r>
      <w:r w:rsidR="00B0743B" w:rsidRPr="002E1CA4">
        <w:rPr>
          <w:b/>
          <w:color w:val="000000"/>
        </w:rPr>
        <w:t>Variables</w:t>
      </w:r>
    </w:p>
    <w:p w14:paraId="09C6F1CE" w14:textId="77777777" w:rsidR="00B0743B" w:rsidRPr="002E1CA4" w:rsidRDefault="00B0743B" w:rsidP="00B0743B">
      <w:pPr>
        <w:keepNext/>
        <w:keepLines/>
        <w:spacing w:after="117" w:line="259" w:lineRule="auto"/>
        <w:ind w:right="49" w:hanging="10"/>
        <w:jc w:val="center"/>
        <w:rPr>
          <w:b/>
          <w:color w:val="000000"/>
        </w:rPr>
      </w:pPr>
    </w:p>
    <w:p w14:paraId="754E8F3A" w14:textId="4FA89CA8" w:rsidR="005826DC" w:rsidRDefault="00B0743B" w:rsidP="003C53EB">
      <w:pPr>
        <w:keepNext/>
        <w:keepLines/>
        <w:spacing w:after="117" w:line="360" w:lineRule="auto"/>
        <w:ind w:right="49" w:firstLine="567"/>
        <w:jc w:val="both"/>
        <w:rPr>
          <w:color w:val="000000" w:themeColor="text1"/>
        </w:rPr>
      </w:pPr>
      <w:r w:rsidRPr="002E1CA4">
        <w:rPr>
          <w:color w:val="000000" w:themeColor="text1"/>
        </w:rPr>
        <w:t>Las variables utilizadas en este estudio se dividen en dos categorías:</w:t>
      </w:r>
    </w:p>
    <w:p w14:paraId="7DF5F35A" w14:textId="77777777" w:rsidR="003C53EB" w:rsidRPr="003C53EB" w:rsidRDefault="003C53EB" w:rsidP="003C53EB">
      <w:pPr>
        <w:keepNext/>
        <w:keepLines/>
        <w:spacing w:after="117" w:line="360" w:lineRule="auto"/>
        <w:ind w:right="49" w:firstLine="567"/>
        <w:jc w:val="both"/>
        <w:rPr>
          <w:color w:val="000000" w:themeColor="text1"/>
        </w:rPr>
      </w:pPr>
    </w:p>
    <w:p w14:paraId="4E04BA4E" w14:textId="77777777" w:rsidR="00B0743B" w:rsidRPr="003C53EB" w:rsidRDefault="00B0743B" w:rsidP="003C53EB">
      <w:pPr>
        <w:keepNext/>
        <w:keepLines/>
        <w:spacing w:after="117" w:line="360" w:lineRule="auto"/>
        <w:ind w:right="49" w:firstLine="567"/>
        <w:jc w:val="both"/>
        <w:rPr>
          <w:b/>
          <w:bCs/>
          <w:color w:val="000000"/>
        </w:rPr>
      </w:pPr>
      <w:r w:rsidRPr="003C53EB">
        <w:rPr>
          <w:b/>
          <w:bCs/>
          <w:color w:val="000000" w:themeColor="text1"/>
        </w:rPr>
        <w:t>Variables predictoras:</w:t>
      </w:r>
    </w:p>
    <w:p w14:paraId="1F8CB8F9" w14:textId="77777777" w:rsidR="00B0743B" w:rsidRPr="002E1CA4" w:rsidRDefault="00B0743B" w:rsidP="1C41BDA1">
      <w:pPr>
        <w:pStyle w:val="ListParagraph"/>
        <w:keepNext/>
        <w:keepLines/>
        <w:numPr>
          <w:ilvl w:val="0"/>
          <w:numId w:val="7"/>
        </w:numPr>
        <w:spacing w:after="117" w:line="360" w:lineRule="auto"/>
        <w:ind w:right="49"/>
        <w:jc w:val="both"/>
        <w:rPr>
          <w:color w:val="000000"/>
        </w:rPr>
      </w:pPr>
      <w:r w:rsidRPr="002E1CA4">
        <w:rPr>
          <w:color w:val="000000" w:themeColor="text1"/>
        </w:rPr>
        <w:t>Retornos pasados: Retornos diarios de 1 a 7 días anteriores.</w:t>
      </w:r>
    </w:p>
    <w:p w14:paraId="74A0FD93" w14:textId="77777777" w:rsidR="00B0743B" w:rsidRPr="002E1CA4" w:rsidRDefault="00B0743B" w:rsidP="1C41BDA1">
      <w:pPr>
        <w:pStyle w:val="ListParagraph"/>
        <w:keepNext/>
        <w:keepLines/>
        <w:numPr>
          <w:ilvl w:val="0"/>
          <w:numId w:val="7"/>
        </w:numPr>
        <w:spacing w:after="117" w:line="360" w:lineRule="auto"/>
        <w:ind w:right="49"/>
        <w:jc w:val="both"/>
        <w:rPr>
          <w:color w:val="000000"/>
        </w:rPr>
      </w:pPr>
      <w:r w:rsidRPr="002E1CA4">
        <w:rPr>
          <w:color w:val="000000" w:themeColor="text1"/>
        </w:rPr>
        <w:t>Volatilidad pasada: Volatilidad diaria de 1 a 7 días anteriores.</w:t>
      </w:r>
    </w:p>
    <w:p w14:paraId="5F2CD76D" w14:textId="77777777" w:rsidR="00B0743B" w:rsidRPr="002E1CA4" w:rsidRDefault="00B0743B" w:rsidP="1C41BDA1">
      <w:pPr>
        <w:pStyle w:val="ListParagraph"/>
        <w:keepNext/>
        <w:keepLines/>
        <w:numPr>
          <w:ilvl w:val="0"/>
          <w:numId w:val="7"/>
        </w:numPr>
        <w:spacing w:after="117" w:line="360" w:lineRule="auto"/>
        <w:ind w:right="49"/>
        <w:jc w:val="both"/>
        <w:rPr>
          <w:color w:val="000000"/>
        </w:rPr>
      </w:pPr>
      <w:r w:rsidRPr="002E1CA4">
        <w:rPr>
          <w:color w:val="000000" w:themeColor="text1"/>
        </w:rPr>
        <w:t>IsETF: Variable binaria que indica si la acción es un ETF.</w:t>
      </w:r>
    </w:p>
    <w:p w14:paraId="56516782" w14:textId="77777777" w:rsidR="00B0743B" w:rsidRPr="002E1CA4" w:rsidRDefault="00B0743B" w:rsidP="1C41BDA1">
      <w:pPr>
        <w:pStyle w:val="ListParagraph"/>
        <w:keepNext/>
        <w:keepLines/>
        <w:numPr>
          <w:ilvl w:val="0"/>
          <w:numId w:val="7"/>
        </w:numPr>
        <w:spacing w:after="117" w:line="360" w:lineRule="auto"/>
        <w:ind w:right="49"/>
        <w:jc w:val="both"/>
        <w:rPr>
          <w:color w:val="000000"/>
        </w:rPr>
      </w:pPr>
      <w:r w:rsidRPr="002E1CA4">
        <w:rPr>
          <w:color w:val="000000" w:themeColor="text1"/>
        </w:rPr>
        <w:t>Características técnicas: Un conjunto de 49 indicadores técnicos calculados a partir de los precios de las acciones (ver Apéndice B).</w:t>
      </w:r>
    </w:p>
    <w:p w14:paraId="7BE52C63" w14:textId="0F1E41FA" w:rsidR="00B0743B" w:rsidRPr="002E1CA4" w:rsidRDefault="00B0743B" w:rsidP="1C41BDA1">
      <w:pPr>
        <w:keepNext/>
        <w:keepLines/>
        <w:spacing w:after="117" w:line="360" w:lineRule="auto"/>
        <w:ind w:right="49" w:firstLine="567"/>
        <w:jc w:val="both"/>
        <w:rPr>
          <w:color w:val="000000" w:themeColor="text1"/>
        </w:rPr>
      </w:pPr>
      <w:r w:rsidRPr="002E1CA4">
        <w:rPr>
          <w:color w:val="000000" w:themeColor="text1"/>
        </w:rPr>
        <w:t>La justificación para la inclusión de estas variables radica en su amplio uso en el análisis técnico de mercados financieros y su potencial para capturar patrones y tendencias relevantes en los precios de las acciones.</w:t>
      </w:r>
    </w:p>
    <w:p w14:paraId="2411ABDA" w14:textId="77777777" w:rsidR="005826DC" w:rsidRPr="002E1CA4" w:rsidRDefault="005826DC" w:rsidP="1C41BDA1">
      <w:pPr>
        <w:keepNext/>
        <w:keepLines/>
        <w:spacing w:after="117" w:line="360" w:lineRule="auto"/>
        <w:ind w:right="49" w:firstLine="567"/>
        <w:jc w:val="both"/>
        <w:rPr>
          <w:color w:val="000000"/>
        </w:rPr>
      </w:pPr>
    </w:p>
    <w:p w14:paraId="21E4BE77" w14:textId="77777777" w:rsidR="00B0743B" w:rsidRPr="002E1CA4" w:rsidRDefault="00B0743B" w:rsidP="003C53EB">
      <w:pPr>
        <w:pStyle w:val="ListParagraph"/>
        <w:keepNext/>
        <w:keepLines/>
        <w:spacing w:after="117" w:line="360" w:lineRule="auto"/>
        <w:ind w:left="0" w:right="49" w:firstLine="567"/>
        <w:jc w:val="both"/>
        <w:rPr>
          <w:b/>
          <w:bCs/>
          <w:color w:val="000000"/>
        </w:rPr>
      </w:pPr>
      <w:r w:rsidRPr="002E1CA4">
        <w:rPr>
          <w:b/>
          <w:bCs/>
          <w:color w:val="000000" w:themeColor="text1"/>
        </w:rPr>
        <w:t>Variable objetivo:</w:t>
      </w:r>
    </w:p>
    <w:p w14:paraId="138378F4" w14:textId="3C658664" w:rsidR="00B0743B" w:rsidRPr="002E1CA4" w:rsidRDefault="00B0743B" w:rsidP="1C41BDA1">
      <w:pPr>
        <w:keepNext/>
        <w:keepLines/>
        <w:spacing w:after="117" w:line="360" w:lineRule="auto"/>
        <w:ind w:right="49" w:firstLine="567"/>
        <w:jc w:val="both"/>
        <w:rPr>
          <w:color w:val="000000"/>
        </w:rPr>
      </w:pPr>
      <w:r w:rsidRPr="002E1CA4">
        <w:rPr>
          <w:color w:val="000000" w:themeColor="text1"/>
        </w:rPr>
        <w:t>ReturnQuintile: Representa el quintil (1-5) al que pertenece el retorno futuro de la acción.</w:t>
      </w:r>
    </w:p>
    <w:p w14:paraId="4FB6BDCE" w14:textId="77777777" w:rsidR="00881D21" w:rsidRPr="002E1CA4" w:rsidRDefault="00881D21">
      <w:pPr>
        <w:spacing w:after="115" w:line="259" w:lineRule="auto"/>
        <w:ind w:right="49"/>
        <w:rPr>
          <w:color w:val="000000"/>
        </w:rPr>
      </w:pPr>
    </w:p>
    <w:p w14:paraId="1ACAA816" w14:textId="3EC0C5A9" w:rsidR="00B0743B" w:rsidRPr="002E1CA4" w:rsidRDefault="00102041" w:rsidP="1C41BDA1">
      <w:pPr>
        <w:keepNext/>
        <w:keepLines/>
        <w:spacing w:after="117" w:line="259" w:lineRule="auto"/>
        <w:ind w:right="49" w:hanging="10"/>
        <w:jc w:val="center"/>
        <w:rPr>
          <w:b/>
          <w:bCs/>
          <w:color w:val="000000"/>
        </w:rPr>
      </w:pPr>
      <w:r w:rsidRPr="002E1CA4">
        <w:rPr>
          <w:b/>
          <w:bCs/>
          <w:color w:val="000000" w:themeColor="text1"/>
        </w:rPr>
        <w:t xml:space="preserve">6.3 </w:t>
      </w:r>
      <w:r w:rsidR="00B0743B" w:rsidRPr="002E1CA4">
        <w:rPr>
          <w:b/>
          <w:bCs/>
          <w:color w:val="000000" w:themeColor="text1"/>
        </w:rPr>
        <w:t>Modelos</w:t>
      </w:r>
    </w:p>
    <w:p w14:paraId="799B642E" w14:textId="77777777" w:rsidR="00881D21" w:rsidRPr="002E1CA4" w:rsidRDefault="00881D21">
      <w:pPr>
        <w:spacing w:after="115" w:line="259" w:lineRule="auto"/>
        <w:ind w:right="49"/>
        <w:rPr>
          <w:color w:val="000000"/>
        </w:rPr>
      </w:pPr>
    </w:p>
    <w:p w14:paraId="71E90D68" w14:textId="77777777" w:rsidR="00B0743B" w:rsidRPr="002E1CA4" w:rsidRDefault="00B0743B" w:rsidP="1C41BDA1">
      <w:pPr>
        <w:spacing w:after="115" w:line="360" w:lineRule="auto"/>
        <w:ind w:right="49" w:firstLine="567"/>
        <w:jc w:val="both"/>
        <w:rPr>
          <w:color w:val="000000" w:themeColor="text1"/>
        </w:rPr>
      </w:pPr>
      <w:r w:rsidRPr="002E1CA4">
        <w:rPr>
          <w:color w:val="000000" w:themeColor="text1"/>
        </w:rPr>
        <w:t>Se emplearon dos modelos de aprendizaje automático de forma secuencial para llevar a cabo la predicción de quintiles:</w:t>
      </w:r>
    </w:p>
    <w:p w14:paraId="28CB0020" w14:textId="77777777" w:rsidR="005826DC" w:rsidRPr="002E1CA4" w:rsidRDefault="005826DC" w:rsidP="1C41BDA1">
      <w:pPr>
        <w:spacing w:after="115" w:line="360" w:lineRule="auto"/>
        <w:ind w:right="49" w:firstLine="567"/>
        <w:jc w:val="both"/>
        <w:rPr>
          <w:color w:val="000000"/>
        </w:rPr>
      </w:pPr>
    </w:p>
    <w:p w14:paraId="14B443AC" w14:textId="31B5E05D" w:rsidR="00B0743B" w:rsidRPr="002E1CA4" w:rsidRDefault="00B0743B" w:rsidP="003C53EB">
      <w:pPr>
        <w:spacing w:after="115" w:line="360" w:lineRule="auto"/>
        <w:ind w:right="49" w:firstLine="567"/>
        <w:jc w:val="both"/>
        <w:rPr>
          <w:color w:val="000000"/>
        </w:rPr>
      </w:pPr>
      <w:r w:rsidRPr="002E1CA4">
        <w:rPr>
          <w:b/>
          <w:bCs/>
          <w:color w:val="000000" w:themeColor="text1"/>
        </w:rPr>
        <w:t>Modelo Base:</w:t>
      </w:r>
      <w:r w:rsidRPr="002E1CA4">
        <w:rPr>
          <w:color w:val="000000" w:themeColor="text1"/>
        </w:rPr>
        <w:t xml:space="preserve"> Una red neuronal </w:t>
      </w:r>
      <w:r w:rsidRPr="002E1CA4">
        <w:rPr>
          <w:i/>
          <w:iCs/>
          <w:color w:val="000000" w:themeColor="text1"/>
        </w:rPr>
        <w:t>feedforward</w:t>
      </w:r>
      <w:r w:rsidRPr="002E1CA4">
        <w:rPr>
          <w:color w:val="000000" w:themeColor="text1"/>
        </w:rPr>
        <w:t xml:space="preserve"> (FFNN) con tres capas ocultas (32, 8 y 5 neuronas, respectivamente). Se utilizó la función de activación ReLU en las capas ocultas y </w:t>
      </w:r>
      <w:r w:rsidRPr="002E1CA4">
        <w:rPr>
          <w:i/>
          <w:iCs/>
          <w:color w:val="000000" w:themeColor="text1"/>
        </w:rPr>
        <w:t>softmax</w:t>
      </w:r>
      <w:r w:rsidRPr="002E1CA4">
        <w:rPr>
          <w:color w:val="000000" w:themeColor="text1"/>
        </w:rPr>
        <w:t xml:space="preserve"> en la capa de salida para obtener probabilidades para cada quintil. Además, se aplicó </w:t>
      </w:r>
      <w:r w:rsidRPr="002E1CA4">
        <w:rPr>
          <w:i/>
          <w:iCs/>
          <w:color w:val="000000" w:themeColor="text1"/>
        </w:rPr>
        <w:t>dropout</w:t>
      </w:r>
      <w:r w:rsidRPr="002E1CA4">
        <w:rPr>
          <w:color w:val="000000" w:themeColor="text1"/>
        </w:rPr>
        <w:t xml:space="preserve"> con una probabilidad de 0.2 en las capas ocultas para evitar el sobreajuste.</w:t>
      </w:r>
    </w:p>
    <w:p w14:paraId="59C3693D" w14:textId="77777777" w:rsidR="005826DC" w:rsidRPr="002E1CA4" w:rsidRDefault="005826DC" w:rsidP="005826DC">
      <w:pPr>
        <w:spacing w:after="115" w:line="360" w:lineRule="auto"/>
        <w:ind w:left="720" w:right="49"/>
        <w:jc w:val="both"/>
        <w:rPr>
          <w:color w:val="000000"/>
        </w:rPr>
      </w:pPr>
    </w:p>
    <w:p w14:paraId="6294DEBF" w14:textId="313A57B9" w:rsidR="00B0743B" w:rsidRPr="002E1CA4" w:rsidRDefault="00B0743B" w:rsidP="003C53EB">
      <w:pPr>
        <w:spacing w:after="115" w:line="360" w:lineRule="auto"/>
        <w:ind w:right="49" w:firstLine="567"/>
        <w:jc w:val="both"/>
        <w:rPr>
          <w:color w:val="000000"/>
        </w:rPr>
      </w:pPr>
      <w:r w:rsidRPr="002E1CA4">
        <w:rPr>
          <w:b/>
          <w:bCs/>
          <w:color w:val="000000" w:themeColor="text1"/>
        </w:rPr>
        <w:lastRenderedPageBreak/>
        <w:t>Modelo Meta:</w:t>
      </w:r>
      <w:r w:rsidRPr="002E1CA4">
        <w:rPr>
          <w:color w:val="000000" w:themeColor="text1"/>
        </w:rPr>
        <w:t> Un meta-modelo que toma como entrada las predicciones del modelo base y</w:t>
      </w:r>
      <w:r w:rsidR="008A2A68" w:rsidRPr="002E1CA4">
        <w:rPr>
          <w:color w:val="000000" w:themeColor="text1"/>
        </w:rPr>
        <w:t xml:space="preserve"> </w:t>
      </w:r>
      <w:r w:rsidRPr="002E1CA4">
        <w:rPr>
          <w:color w:val="000000" w:themeColor="text1"/>
        </w:rPr>
        <w:t xml:space="preserve">el </w:t>
      </w:r>
      <w:r w:rsidRPr="002E1CA4">
        <w:rPr>
          <w:i/>
          <w:iCs/>
          <w:color w:val="000000" w:themeColor="text1"/>
        </w:rPr>
        <w:t>ticker</w:t>
      </w:r>
      <w:r w:rsidRPr="002E1CA4">
        <w:rPr>
          <w:color w:val="000000" w:themeColor="text1"/>
        </w:rPr>
        <w:t xml:space="preserve"> de la acción. Este modelo permite ajustar los parámetros del </w:t>
      </w:r>
      <w:r w:rsidR="008A2A68" w:rsidRPr="002E1CA4">
        <w:rPr>
          <w:color w:val="000000" w:themeColor="text1"/>
        </w:rPr>
        <w:t>modelo base</w:t>
      </w:r>
      <w:r w:rsidRPr="002E1CA4">
        <w:rPr>
          <w:color w:val="000000" w:themeColor="text1"/>
        </w:rPr>
        <w:t> de manera específica para cada acción, lo que potencialmente mejora la capacidad de generalización y el rendimiento de las predicciones.</w:t>
      </w:r>
    </w:p>
    <w:p w14:paraId="36284E65" w14:textId="77777777" w:rsidR="00881D21" w:rsidRPr="002E1CA4" w:rsidRDefault="00881D21">
      <w:pPr>
        <w:spacing w:after="115" w:line="259" w:lineRule="auto"/>
        <w:ind w:right="49"/>
        <w:rPr>
          <w:color w:val="000000"/>
        </w:rPr>
      </w:pPr>
    </w:p>
    <w:p w14:paraId="13AFEB70" w14:textId="51CD295D" w:rsidR="00881D21" w:rsidRPr="002E1CA4" w:rsidRDefault="00102041" w:rsidP="1C41BDA1">
      <w:pPr>
        <w:keepNext/>
        <w:keepLines/>
        <w:spacing w:after="117" w:line="259" w:lineRule="auto"/>
        <w:ind w:right="49" w:hanging="10"/>
        <w:jc w:val="center"/>
        <w:rPr>
          <w:b/>
          <w:bCs/>
          <w:color w:val="000000"/>
        </w:rPr>
      </w:pPr>
      <w:r w:rsidRPr="002E1CA4">
        <w:rPr>
          <w:b/>
          <w:bCs/>
          <w:color w:val="000000" w:themeColor="text1"/>
        </w:rPr>
        <w:t xml:space="preserve">6.4 </w:t>
      </w:r>
      <w:r w:rsidR="00B0743B" w:rsidRPr="002E1CA4">
        <w:rPr>
          <w:b/>
          <w:bCs/>
          <w:color w:val="000000" w:themeColor="text1"/>
        </w:rPr>
        <w:t>Entrenamiento y Evaluación</w:t>
      </w:r>
    </w:p>
    <w:p w14:paraId="39519C4B" w14:textId="77777777" w:rsidR="00B0743B" w:rsidRPr="002E1CA4" w:rsidRDefault="00B0743B" w:rsidP="00784770">
      <w:pPr>
        <w:keepNext/>
        <w:keepLines/>
        <w:spacing w:after="117" w:line="360" w:lineRule="auto"/>
        <w:ind w:right="49" w:hanging="10"/>
        <w:jc w:val="center"/>
        <w:rPr>
          <w:color w:val="000000"/>
        </w:rPr>
      </w:pPr>
    </w:p>
    <w:p w14:paraId="691E5ECB" w14:textId="77777777" w:rsidR="001A47E2" w:rsidRPr="002E1CA4" w:rsidRDefault="00784770" w:rsidP="001A47E2">
      <w:pPr>
        <w:spacing w:after="115" w:line="360" w:lineRule="auto"/>
        <w:ind w:right="49" w:firstLine="567"/>
        <w:jc w:val="both"/>
        <w:rPr>
          <w:color w:val="000000" w:themeColor="text1"/>
        </w:rPr>
      </w:pPr>
      <w:r w:rsidRPr="002E1CA4">
        <w:rPr>
          <w:color w:val="000000" w:themeColor="text1"/>
        </w:rPr>
        <w:t>El conjunto de datos se dividió en tres partes: entrenamiento (80%), prueba (10%) y validación (10%). Primero, se entrenó el modelo base utilizando el conjunto de entrenamiento. Luego, el modelo meta refinó las predicciones en el conjunto de validación.</w:t>
      </w:r>
    </w:p>
    <w:p w14:paraId="2D6B3DDD" w14:textId="77777777" w:rsidR="001A47E2" w:rsidRPr="002E1CA4" w:rsidRDefault="001A47E2" w:rsidP="001A47E2">
      <w:pPr>
        <w:spacing w:after="115" w:line="360" w:lineRule="auto"/>
        <w:ind w:right="49" w:firstLine="567"/>
        <w:jc w:val="both"/>
        <w:rPr>
          <w:color w:val="000000" w:themeColor="text1"/>
        </w:rPr>
      </w:pPr>
    </w:p>
    <w:p w14:paraId="6169780B" w14:textId="3C5BE726" w:rsidR="00784770" w:rsidRPr="002E1CA4" w:rsidRDefault="00784770" w:rsidP="001A47E2">
      <w:pPr>
        <w:spacing w:after="115" w:line="360" w:lineRule="auto"/>
        <w:ind w:right="49" w:firstLine="567"/>
        <w:jc w:val="both"/>
        <w:rPr>
          <w:color w:val="000000" w:themeColor="text1"/>
        </w:rPr>
      </w:pPr>
      <w:r w:rsidRPr="002E1CA4">
        <w:rPr>
          <w:color w:val="000000" w:themeColor="text1"/>
        </w:rPr>
        <w:t xml:space="preserve">La elección de </w:t>
      </w:r>
      <w:r w:rsidR="001A47E2" w:rsidRPr="002E1CA4">
        <w:rPr>
          <w:color w:val="000000" w:themeColor="text1"/>
        </w:rPr>
        <w:t xml:space="preserve">las </w:t>
      </w:r>
      <w:r w:rsidRPr="002E1CA4">
        <w:rPr>
          <w:color w:val="000000" w:themeColor="text1"/>
        </w:rPr>
        <w:t>FFNN se debe a su capacidad para modelar relaciones no lineales complejas en datos financieros. El meta-modelo adapta el modelo base a las características específicas de cada acción, lo que puede influir en el rendimiento de las predicciones. Esta adaptación es crucial para captar las particularidades de cada acción en el portafolio, potenciando la capacidad del modelo para generar predicciones más precisas.</w:t>
      </w:r>
    </w:p>
    <w:p w14:paraId="238354D0" w14:textId="77777777" w:rsidR="001A47E2" w:rsidRPr="002E1CA4" w:rsidRDefault="001A47E2" w:rsidP="00784770">
      <w:pPr>
        <w:spacing w:after="115" w:line="360" w:lineRule="auto"/>
        <w:ind w:right="49" w:firstLine="567"/>
        <w:jc w:val="both"/>
        <w:rPr>
          <w:color w:val="000000" w:themeColor="text1"/>
        </w:rPr>
      </w:pPr>
    </w:p>
    <w:p w14:paraId="3DBA25EE" w14:textId="063111C5" w:rsidR="00556991" w:rsidRPr="002E1CA4" w:rsidRDefault="00784770" w:rsidP="00784770">
      <w:pPr>
        <w:spacing w:after="115" w:line="360" w:lineRule="auto"/>
        <w:ind w:right="49" w:firstLine="567"/>
        <w:jc w:val="both"/>
        <w:rPr>
          <w:color w:val="000000"/>
        </w:rPr>
      </w:pPr>
      <w:r w:rsidRPr="002E1CA4">
        <w:rPr>
          <w:color w:val="000000" w:themeColor="text1"/>
        </w:rPr>
        <w:t xml:space="preserve">Para evaluar la precisión de las predicciones probabilísticas, se utilizó el </w:t>
      </w:r>
      <w:r w:rsidRPr="002E1CA4">
        <w:rPr>
          <w:i/>
          <w:iCs/>
          <w:color w:val="000000" w:themeColor="text1"/>
        </w:rPr>
        <w:t>Ranked Probability Score</w:t>
      </w:r>
      <w:r w:rsidRPr="002E1CA4">
        <w:rPr>
          <w:color w:val="000000" w:themeColor="text1"/>
        </w:rPr>
        <w:t xml:space="preserve"> (RPS). El RPS se calculó tanto para el modelo base como para el modelo meta, y se compararon los resultados para determinar el impacto del meta-modelo en la calidad de las predicciones. La elección del RPS como métrica de evaluación se basa en su capacidad para proporcionar una medida detallada y precisa de la calidad de las predicciones probabilísticas, evaluando no solo la exactitud de la predicción final sino también la distribución de las probabilidades asignadas a cada quintil.</w:t>
      </w:r>
    </w:p>
    <w:p w14:paraId="53996D2F" w14:textId="77777777" w:rsidR="005D5434" w:rsidRPr="002E1CA4" w:rsidRDefault="005D5434" w:rsidP="1C41BDA1">
      <w:pPr>
        <w:spacing w:after="115" w:line="360" w:lineRule="auto"/>
        <w:ind w:right="49"/>
        <w:jc w:val="center"/>
        <w:rPr>
          <w:b/>
          <w:bCs/>
        </w:rPr>
      </w:pPr>
    </w:p>
    <w:p w14:paraId="24CEE20A" w14:textId="77777777" w:rsidR="005D5434" w:rsidRPr="002E1CA4" w:rsidRDefault="005D5434" w:rsidP="1C41BDA1">
      <w:pPr>
        <w:spacing w:after="115" w:line="360" w:lineRule="auto"/>
        <w:ind w:right="49"/>
        <w:jc w:val="center"/>
        <w:rPr>
          <w:b/>
          <w:bCs/>
        </w:rPr>
      </w:pPr>
    </w:p>
    <w:p w14:paraId="4E5F6276" w14:textId="77777777" w:rsidR="005D5434" w:rsidRPr="002E1CA4" w:rsidRDefault="005D5434" w:rsidP="1C41BDA1">
      <w:pPr>
        <w:spacing w:after="115" w:line="360" w:lineRule="auto"/>
        <w:ind w:right="49"/>
        <w:jc w:val="center"/>
        <w:rPr>
          <w:b/>
          <w:bCs/>
        </w:rPr>
      </w:pPr>
    </w:p>
    <w:p w14:paraId="0B514294" w14:textId="77777777" w:rsidR="003C53EB" w:rsidRDefault="003C53EB" w:rsidP="1C41BDA1">
      <w:pPr>
        <w:spacing w:after="115" w:line="360" w:lineRule="auto"/>
        <w:ind w:right="49"/>
        <w:jc w:val="center"/>
        <w:rPr>
          <w:b/>
          <w:bCs/>
        </w:rPr>
      </w:pPr>
    </w:p>
    <w:p w14:paraId="2C5898B6" w14:textId="011E87ED" w:rsidR="00556991" w:rsidRPr="002E1CA4" w:rsidRDefault="00556991" w:rsidP="1C41BDA1">
      <w:pPr>
        <w:spacing w:after="115" w:line="360" w:lineRule="auto"/>
        <w:ind w:right="49"/>
        <w:jc w:val="center"/>
        <w:rPr>
          <w:b/>
          <w:bCs/>
        </w:rPr>
      </w:pPr>
      <w:r w:rsidRPr="002E1CA4">
        <w:rPr>
          <w:b/>
          <w:bCs/>
        </w:rPr>
        <w:lastRenderedPageBreak/>
        <w:t>6.5 Backtesting</w:t>
      </w:r>
    </w:p>
    <w:p w14:paraId="40B05A2B" w14:textId="77777777" w:rsidR="005D5434" w:rsidRPr="002E1CA4" w:rsidRDefault="005D5434" w:rsidP="005D5434">
      <w:pPr>
        <w:spacing w:after="115" w:line="360" w:lineRule="auto"/>
        <w:ind w:right="49"/>
        <w:jc w:val="both"/>
        <w:rPr>
          <w:b/>
          <w:bCs/>
        </w:rPr>
      </w:pPr>
    </w:p>
    <w:p w14:paraId="26D10B7A" w14:textId="77777777" w:rsidR="00BF4CD4" w:rsidRPr="00BF4CD4" w:rsidRDefault="00BF4CD4" w:rsidP="00BF4CD4">
      <w:pPr>
        <w:spacing w:line="360" w:lineRule="auto"/>
        <w:ind w:firstLine="567"/>
        <w:jc w:val="both"/>
      </w:pPr>
      <w:r w:rsidRPr="00BF4CD4">
        <w:t xml:space="preserve">El </w:t>
      </w:r>
      <w:r w:rsidRPr="00BF4CD4">
        <w:rPr>
          <w:i/>
          <w:iCs/>
        </w:rPr>
        <w:t>backtesting</w:t>
      </w:r>
      <w:r w:rsidRPr="00BF4CD4">
        <w:t xml:space="preserve"> es una parte esencial del proceso de validación de los modelos de predicción desarrollados en este estudio. Permite evaluar cómo habrían funcionado las estrategias de inversión basadas en los modelos propuestos si se hubieran aplicado en datos históricos.</w:t>
      </w:r>
    </w:p>
    <w:p w14:paraId="3CB2043D" w14:textId="77777777" w:rsidR="00BF4CD4" w:rsidRPr="00BF4CD4" w:rsidRDefault="00BF4CD4" w:rsidP="00BF4CD4">
      <w:pPr>
        <w:spacing w:line="360" w:lineRule="auto"/>
        <w:ind w:firstLine="567"/>
        <w:jc w:val="both"/>
      </w:pPr>
    </w:p>
    <w:p w14:paraId="1459657D" w14:textId="77777777" w:rsidR="00BF4CD4" w:rsidRPr="00BF4CD4" w:rsidRDefault="00BF4CD4" w:rsidP="00BF4CD4">
      <w:pPr>
        <w:spacing w:line="360" w:lineRule="auto"/>
        <w:ind w:firstLine="567"/>
        <w:jc w:val="both"/>
      </w:pPr>
      <w:r w:rsidRPr="00BF4CD4">
        <w:t xml:space="preserve">El procedimiento de </w:t>
      </w:r>
      <w:r w:rsidRPr="00BF4CD4">
        <w:rPr>
          <w:i/>
          <w:iCs/>
        </w:rPr>
        <w:t>backtesting</w:t>
      </w:r>
      <w:r w:rsidRPr="00BF4CD4">
        <w:t xml:space="preserve"> comenzó con la división de los datos históricos en múltiples períodos de prueba, asegurando que cada período tuviera suficiente historial para realizar predicciones significativas. Se utilizó una ventana móvil para simular cómo se actualizarían las predicciones en tiempo real.</w:t>
      </w:r>
    </w:p>
    <w:p w14:paraId="44973145" w14:textId="77777777" w:rsidR="00BF4CD4" w:rsidRPr="00BF4CD4" w:rsidRDefault="00BF4CD4" w:rsidP="00BF4CD4">
      <w:pPr>
        <w:spacing w:line="360" w:lineRule="auto"/>
        <w:ind w:firstLine="567"/>
        <w:jc w:val="both"/>
      </w:pPr>
    </w:p>
    <w:p w14:paraId="7749FB21" w14:textId="77777777" w:rsidR="00BF4CD4" w:rsidRPr="00BF4CD4" w:rsidRDefault="00BF4CD4" w:rsidP="00BF4CD4">
      <w:pPr>
        <w:spacing w:line="360" w:lineRule="auto"/>
        <w:ind w:firstLine="567"/>
        <w:jc w:val="both"/>
      </w:pPr>
      <w:r w:rsidRPr="00BF4CD4">
        <w:t>Las señales de inversión se generaron en dos etapas. Primero, las predicciones de quintiles del modelo base se utilizaron para generar señales de inversión iniciales, calculando la probabilidad de pertenecer a cada quintil para cada acción. Luego, el modelo meta refinó estas señales, ajustando las probabilidades en función de las características específicas de cada acción.</w:t>
      </w:r>
    </w:p>
    <w:p w14:paraId="6C3423BC" w14:textId="77777777" w:rsidR="00BF4CD4" w:rsidRPr="00BF4CD4" w:rsidRDefault="00BF4CD4" w:rsidP="00BF4CD4">
      <w:pPr>
        <w:spacing w:line="360" w:lineRule="auto"/>
        <w:ind w:firstLine="567"/>
        <w:jc w:val="both"/>
      </w:pPr>
    </w:p>
    <w:p w14:paraId="274BE227" w14:textId="77777777" w:rsidR="00BF4CD4" w:rsidRPr="00BF4CD4" w:rsidRDefault="00BF4CD4" w:rsidP="00BF4CD4">
      <w:pPr>
        <w:spacing w:line="360" w:lineRule="auto"/>
        <w:ind w:firstLine="567"/>
        <w:jc w:val="both"/>
      </w:pPr>
      <w:r w:rsidRPr="00BF4CD4">
        <w:t xml:space="preserve">Para asignar pesos de inversión a cada activo, se desarrolló una metodología basada en las probabilidades de clasificación en quintiles. Los activos con mayores probabilidades de pertenecer a los quintiles superiores recibieron mayores pesos de inversión. En cada período de </w:t>
      </w:r>
      <w:r w:rsidRPr="00BF4CD4">
        <w:rPr>
          <w:i/>
          <w:iCs/>
        </w:rPr>
        <w:t>backtesting</w:t>
      </w:r>
      <w:r w:rsidRPr="00BF4CD4">
        <w:t>, se determinaron las posiciones de inversión (invertir o no invertir) para cada acción, con el objetivo de optimizar el rendimiento ajustado por riesgo.</w:t>
      </w:r>
    </w:p>
    <w:p w14:paraId="252FB994" w14:textId="77777777" w:rsidR="00BF4CD4" w:rsidRPr="00BF4CD4" w:rsidRDefault="00BF4CD4" w:rsidP="00BF4CD4">
      <w:pPr>
        <w:spacing w:line="360" w:lineRule="auto"/>
        <w:ind w:firstLine="567"/>
        <w:jc w:val="both"/>
      </w:pPr>
    </w:p>
    <w:p w14:paraId="32EF1A37" w14:textId="77777777" w:rsidR="00BF4CD4" w:rsidRPr="00BF4CD4" w:rsidRDefault="00BF4CD4" w:rsidP="00BF4CD4">
      <w:pPr>
        <w:spacing w:line="360" w:lineRule="auto"/>
        <w:ind w:firstLine="567"/>
        <w:jc w:val="both"/>
      </w:pPr>
      <w:r w:rsidRPr="00BF4CD4">
        <w:t>Las posiciones de inversión generadas se aplicaron a los datos históricos para simular el rendimiento de la cartera. Se realizó un seguimiento del rendimiento acumulado y se comparó con un índice de referencia.</w:t>
      </w:r>
    </w:p>
    <w:p w14:paraId="19CD7358" w14:textId="77777777" w:rsidR="00BF4CD4" w:rsidRPr="00BF4CD4" w:rsidRDefault="00BF4CD4" w:rsidP="00BF4CD4">
      <w:pPr>
        <w:spacing w:line="360" w:lineRule="auto"/>
        <w:ind w:firstLine="567"/>
        <w:jc w:val="both"/>
      </w:pPr>
    </w:p>
    <w:p w14:paraId="68B969DB" w14:textId="79CEB5C1" w:rsidR="00881D21" w:rsidRPr="002E1CA4" w:rsidRDefault="00BF4CD4" w:rsidP="00BF4CD4">
      <w:pPr>
        <w:spacing w:line="360" w:lineRule="auto"/>
        <w:ind w:firstLine="567"/>
        <w:jc w:val="both"/>
      </w:pPr>
      <w:r w:rsidRPr="002E1CA4">
        <w:t xml:space="preserve">Para evaluar la efectividad de las predicciones y la estrategia de inversión, se utilizó el </w:t>
      </w:r>
      <w:r w:rsidRPr="002E1CA4">
        <w:rPr>
          <w:i/>
          <w:iCs/>
        </w:rPr>
        <w:t>Information Ratio</w:t>
      </w:r>
      <w:r w:rsidRPr="002E1CA4">
        <w:t xml:space="preserve"> (IR). El IR evalúa el rendimiento ajustado por riesgo de la cartera, proporcionando una medida clara de la eficiencia de la estrategia de inversión implementada. Los resultados del modelo base y del modelo meta se compararon en </w:t>
      </w:r>
      <w:r w:rsidRPr="002E1CA4">
        <w:lastRenderedPageBreak/>
        <w:t>términos de IR para determinar el impacto del meta-modelo en la calidad de las predicciones.</w:t>
      </w:r>
      <w:r w:rsidR="00102041" w:rsidRPr="002E1CA4">
        <w:br w:type="page"/>
      </w:r>
    </w:p>
    <w:p w14:paraId="2C1EEB00" w14:textId="77777777" w:rsidR="00881D21" w:rsidRPr="002E1CA4" w:rsidRDefault="00881D21">
      <w:pPr>
        <w:spacing w:line="480" w:lineRule="auto"/>
        <w:jc w:val="center"/>
      </w:pPr>
    </w:p>
    <w:p w14:paraId="392A1CD1" w14:textId="77777777" w:rsidR="00881D21" w:rsidRPr="002E1CA4" w:rsidRDefault="00881D21">
      <w:pPr>
        <w:spacing w:line="480" w:lineRule="auto"/>
        <w:jc w:val="center"/>
      </w:pPr>
    </w:p>
    <w:p w14:paraId="1FA05226" w14:textId="77777777" w:rsidR="00881D21" w:rsidRPr="002E1CA4" w:rsidRDefault="00881D21">
      <w:pPr>
        <w:spacing w:line="480" w:lineRule="auto"/>
        <w:jc w:val="center"/>
      </w:pPr>
    </w:p>
    <w:p w14:paraId="647C3593" w14:textId="77777777" w:rsidR="00881D21" w:rsidRPr="002E1CA4" w:rsidRDefault="00102041">
      <w:pPr>
        <w:jc w:val="center"/>
        <w:rPr>
          <w:b/>
        </w:rPr>
      </w:pPr>
      <w:r w:rsidRPr="002E1CA4">
        <w:rPr>
          <w:b/>
        </w:rPr>
        <w:t>CAPÍTULO 7</w:t>
      </w:r>
    </w:p>
    <w:p w14:paraId="0C2023F8" w14:textId="77777777" w:rsidR="00881D21" w:rsidRPr="002E1CA4" w:rsidRDefault="00881D21"/>
    <w:p w14:paraId="48109338" w14:textId="77777777" w:rsidR="00881D21" w:rsidRPr="002E1CA4" w:rsidRDefault="00102041">
      <w:pPr>
        <w:pBdr>
          <w:bottom w:val="single" w:sz="12" w:space="1" w:color="000000"/>
        </w:pBdr>
        <w:jc w:val="center"/>
        <w:rPr>
          <w:b/>
        </w:rPr>
      </w:pPr>
      <w:r w:rsidRPr="002E1CA4">
        <w:rPr>
          <w:b/>
        </w:rPr>
        <w:t>RESULTADOS Y CONCLUSIONES</w:t>
      </w:r>
    </w:p>
    <w:p w14:paraId="3EECB90A" w14:textId="77777777" w:rsidR="00881D21" w:rsidRPr="002E1CA4" w:rsidRDefault="00881D21">
      <w:pPr>
        <w:jc w:val="center"/>
        <w:rPr>
          <w:b/>
        </w:rPr>
      </w:pPr>
    </w:p>
    <w:p w14:paraId="1A838B7A" w14:textId="6DC2D970" w:rsidR="00881D21" w:rsidRPr="002E1CA4" w:rsidRDefault="00881D21"/>
    <w:p w14:paraId="4CB75548" w14:textId="70AB7876" w:rsidR="00881D21" w:rsidRPr="002E1CA4" w:rsidRDefault="0043722C" w:rsidP="1208528E">
      <w:pPr>
        <w:numPr>
          <w:ilvl w:val="1"/>
          <w:numId w:val="2"/>
        </w:numPr>
        <w:pBdr>
          <w:top w:val="nil"/>
          <w:left w:val="nil"/>
          <w:bottom w:val="nil"/>
          <w:right w:val="nil"/>
          <w:between w:val="nil"/>
        </w:pBdr>
        <w:spacing w:after="160" w:line="240" w:lineRule="auto"/>
        <w:jc w:val="center"/>
        <w:rPr>
          <w:b/>
          <w:bCs/>
          <w:color w:val="000000"/>
          <w:sz w:val="24"/>
          <w:szCs w:val="24"/>
        </w:rPr>
      </w:pPr>
      <w:r w:rsidRPr="002E1CA4">
        <w:rPr>
          <w:noProof/>
        </w:rPr>
        <w:drawing>
          <wp:anchor distT="0" distB="0" distL="114300" distR="114300" simplePos="0" relativeHeight="251658240" behindDoc="0" locked="0" layoutInCell="1" allowOverlap="1" wp14:anchorId="6F4805FD" wp14:editId="62472F87">
            <wp:simplePos x="0" y="0"/>
            <wp:positionH relativeFrom="column">
              <wp:posOffset>594360</wp:posOffset>
            </wp:positionH>
            <wp:positionV relativeFrom="paragraph">
              <wp:posOffset>489603</wp:posOffset>
            </wp:positionV>
            <wp:extent cx="3850640" cy="5605780"/>
            <wp:effectExtent l="0" t="0" r="0" b="0"/>
            <wp:wrapThrough wrapText="bothSides">
              <wp:wrapPolygon edited="0">
                <wp:start x="0" y="0"/>
                <wp:lineTo x="0" y="21531"/>
                <wp:lineTo x="21515" y="21531"/>
                <wp:lineTo x="21515" y="0"/>
                <wp:lineTo x="0" y="0"/>
              </wp:wrapPolygon>
            </wp:wrapThrough>
            <wp:docPr id="1821711686" name="Picture 1" descr="A table of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11686" name="Picture 1" descr="A table of numbers and letters&#10;&#10;Description automatically generated"/>
                    <pic:cNvPicPr/>
                  </pic:nvPicPr>
                  <pic:blipFill rotWithShape="1">
                    <a:blip r:embed="rId13" cstate="print">
                      <a:extLst>
                        <a:ext uri="{28A0092B-C50C-407E-A947-70E740481C1C}">
                          <a14:useLocalDpi xmlns:a14="http://schemas.microsoft.com/office/drawing/2010/main" val="0"/>
                        </a:ext>
                      </a:extLst>
                    </a:blip>
                    <a:srcRect r="16560"/>
                    <a:stretch/>
                  </pic:blipFill>
                  <pic:spPr bwMode="auto">
                    <a:xfrm>
                      <a:off x="0" y="0"/>
                      <a:ext cx="3850640" cy="56057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02041" w:rsidRPr="002E1CA4">
        <w:rPr>
          <w:b/>
          <w:bCs/>
          <w:color w:val="000000"/>
          <w:sz w:val="24"/>
          <w:szCs w:val="24"/>
        </w:rPr>
        <w:t>(Subtítulo)</w:t>
      </w:r>
      <w:r w:rsidR="00102041" w:rsidRPr="002E1CA4">
        <w:br w:type="page"/>
      </w:r>
    </w:p>
    <w:p w14:paraId="304F8166" w14:textId="71BBD877" w:rsidR="00881D21" w:rsidRPr="002E1CA4" w:rsidRDefault="002C1206">
      <w:pPr>
        <w:spacing w:line="480" w:lineRule="auto"/>
        <w:jc w:val="both"/>
      </w:pPr>
      <w:r w:rsidRPr="002E1CA4">
        <w:rPr>
          <w:noProof/>
        </w:rPr>
        <w:lastRenderedPageBreak/>
        <w:drawing>
          <wp:inline distT="0" distB="0" distL="0" distR="0" wp14:anchorId="4E6C402B" wp14:editId="423AE654">
            <wp:extent cx="5431790" cy="2413000"/>
            <wp:effectExtent l="0" t="0" r="3810" b="0"/>
            <wp:docPr id="21732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27840" name="Picture 21732784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31790" cy="2413000"/>
                    </a:xfrm>
                    <a:prstGeom prst="rect">
                      <a:avLst/>
                    </a:prstGeom>
                  </pic:spPr>
                </pic:pic>
              </a:graphicData>
            </a:graphic>
          </wp:inline>
        </w:drawing>
      </w:r>
    </w:p>
    <w:p w14:paraId="75240283" w14:textId="77777777" w:rsidR="00881D21" w:rsidRPr="002E1CA4" w:rsidRDefault="00881D21">
      <w:pPr>
        <w:spacing w:line="480" w:lineRule="auto"/>
      </w:pPr>
    </w:p>
    <w:p w14:paraId="01816157" w14:textId="77777777" w:rsidR="00881D21" w:rsidRPr="002E1CA4" w:rsidRDefault="00881D21">
      <w:pPr>
        <w:spacing w:line="480" w:lineRule="auto"/>
      </w:pPr>
    </w:p>
    <w:p w14:paraId="5B8002EC" w14:textId="77777777" w:rsidR="00881D21" w:rsidRPr="002E1CA4" w:rsidRDefault="00102041">
      <w:pPr>
        <w:pBdr>
          <w:bottom w:val="single" w:sz="12" w:space="1" w:color="000000"/>
        </w:pBdr>
        <w:jc w:val="center"/>
        <w:rPr>
          <w:b/>
        </w:rPr>
      </w:pPr>
      <w:r w:rsidRPr="002E1CA4">
        <w:rPr>
          <w:b/>
        </w:rPr>
        <w:t xml:space="preserve">ANEXOS </w:t>
      </w:r>
    </w:p>
    <w:p w14:paraId="58FCFA0A" w14:textId="77777777" w:rsidR="00881D21" w:rsidRPr="002E1CA4" w:rsidRDefault="00881D21">
      <w:pPr>
        <w:jc w:val="center"/>
        <w:rPr>
          <w:b/>
        </w:rPr>
      </w:pPr>
    </w:p>
    <w:p w14:paraId="7C1142EC" w14:textId="77777777" w:rsidR="00881D21" w:rsidRPr="002E1CA4" w:rsidRDefault="00881D21"/>
    <w:p w14:paraId="3D414A26" w14:textId="77777777" w:rsidR="00881D21" w:rsidRPr="002E1CA4" w:rsidRDefault="00881D21"/>
    <w:p w14:paraId="0CC67BBC" w14:textId="77777777" w:rsidR="00881D21" w:rsidRPr="002E1CA4" w:rsidRDefault="00881D21"/>
    <w:p w14:paraId="35858C4D" w14:textId="77777777" w:rsidR="00881D21" w:rsidRPr="002E1CA4" w:rsidRDefault="00881D21"/>
    <w:p w14:paraId="5F6437DE" w14:textId="77777777" w:rsidR="00881D21" w:rsidRPr="002E1CA4" w:rsidRDefault="00881D21"/>
    <w:p w14:paraId="22C02DF2" w14:textId="77777777" w:rsidR="00881D21" w:rsidRPr="002E1CA4" w:rsidRDefault="00881D21"/>
    <w:p w14:paraId="41AF5EC7" w14:textId="77777777" w:rsidR="00881D21" w:rsidRPr="002E1CA4" w:rsidRDefault="00881D21"/>
    <w:p w14:paraId="7FD3C52A" w14:textId="77777777" w:rsidR="00881D21" w:rsidRPr="002E1CA4" w:rsidRDefault="00881D21"/>
    <w:p w14:paraId="7A3FEA65" w14:textId="77777777" w:rsidR="00881D21" w:rsidRPr="002E1CA4" w:rsidRDefault="00881D21"/>
    <w:p w14:paraId="01101490" w14:textId="77777777" w:rsidR="00881D21" w:rsidRPr="002E1CA4" w:rsidRDefault="00881D21"/>
    <w:p w14:paraId="60F19321" w14:textId="77777777" w:rsidR="00881D21" w:rsidRPr="002E1CA4" w:rsidRDefault="00881D21"/>
    <w:p w14:paraId="2EA64962" w14:textId="77777777" w:rsidR="00881D21" w:rsidRPr="002E1CA4" w:rsidRDefault="00881D21"/>
    <w:p w14:paraId="3C5A053A" w14:textId="77777777" w:rsidR="00881D21" w:rsidRPr="002E1CA4" w:rsidRDefault="00881D21"/>
    <w:p w14:paraId="648746A1" w14:textId="77777777" w:rsidR="00881D21" w:rsidRPr="002E1CA4" w:rsidRDefault="00102041">
      <w:r w:rsidRPr="002E1CA4">
        <w:br w:type="page"/>
      </w:r>
    </w:p>
    <w:p w14:paraId="34AD700C" w14:textId="77777777" w:rsidR="00881D21" w:rsidRPr="002E1CA4" w:rsidRDefault="00881D21">
      <w:pPr>
        <w:spacing w:line="480" w:lineRule="auto"/>
      </w:pPr>
    </w:p>
    <w:p w14:paraId="7CB042DD" w14:textId="77777777" w:rsidR="00881D21" w:rsidRPr="002E1CA4" w:rsidRDefault="00881D21">
      <w:pPr>
        <w:spacing w:line="480" w:lineRule="auto"/>
      </w:pPr>
    </w:p>
    <w:p w14:paraId="11021592" w14:textId="77777777" w:rsidR="00881D21" w:rsidRPr="002E1CA4" w:rsidRDefault="00881D21">
      <w:pPr>
        <w:spacing w:line="480" w:lineRule="auto"/>
      </w:pPr>
    </w:p>
    <w:p w14:paraId="18022A21" w14:textId="77777777" w:rsidR="00881D21" w:rsidRPr="002E1CA4" w:rsidRDefault="00102041">
      <w:pPr>
        <w:pBdr>
          <w:bottom w:val="single" w:sz="12" w:space="1" w:color="000000"/>
        </w:pBdr>
        <w:jc w:val="center"/>
        <w:rPr>
          <w:b/>
        </w:rPr>
      </w:pPr>
      <w:r w:rsidRPr="002E1CA4">
        <w:rPr>
          <w:b/>
        </w:rPr>
        <w:t>REFERENCIAS</w:t>
      </w:r>
    </w:p>
    <w:p w14:paraId="2616EE49" w14:textId="77777777" w:rsidR="00881D21" w:rsidRPr="002E1CA4" w:rsidRDefault="00881D21">
      <w:pPr>
        <w:jc w:val="center"/>
        <w:rPr>
          <w:b/>
        </w:rPr>
      </w:pPr>
    </w:p>
    <w:p w14:paraId="58C02622" w14:textId="77777777" w:rsidR="00881D21" w:rsidRPr="002E1CA4" w:rsidRDefault="00881D21">
      <w:pPr>
        <w:jc w:val="center"/>
      </w:pPr>
    </w:p>
    <w:p w14:paraId="5E83C85B" w14:textId="77777777" w:rsidR="00881D21" w:rsidRPr="002E1CA4" w:rsidRDefault="00881D21">
      <w:pPr>
        <w:jc w:val="center"/>
      </w:pPr>
    </w:p>
    <w:p w14:paraId="00AA3B61" w14:textId="77777777" w:rsidR="00881D21" w:rsidRPr="002E1CA4" w:rsidRDefault="00102041" w:rsidP="1208528E">
      <w:pPr>
        <w:jc w:val="center"/>
      </w:pPr>
      <w:r w:rsidRPr="002E1CA4">
        <w:t>(Ejemplos de referencias con formato APA, justificado a la izquierda y sangría invertida)</w:t>
      </w:r>
    </w:p>
    <w:p w14:paraId="0FA2DE3F" w14:textId="52BC45ED" w:rsidR="00881D21" w:rsidRPr="002E1CA4" w:rsidRDefault="00534DC3" w:rsidP="1208528E">
      <w:pPr>
        <w:rPr>
          <w:color w:val="000000" w:themeColor="text1"/>
          <w:sz w:val="24"/>
          <w:szCs w:val="24"/>
        </w:rPr>
      </w:pPr>
      <w:r w:rsidRPr="002E1CA4">
        <w:rPr>
          <w:color w:val="000000" w:themeColor="text1"/>
          <w:sz w:val="24"/>
          <w:szCs w:val="24"/>
        </w:rPr>
        <w:t xml:space="preserve">Copiar de otra </w:t>
      </w:r>
      <w:proofErr w:type="spellStart"/>
      <w:r w:rsidRPr="002E1CA4">
        <w:rPr>
          <w:color w:val="000000" w:themeColor="text1"/>
          <w:sz w:val="24"/>
          <w:szCs w:val="24"/>
        </w:rPr>
        <w:t>version</w:t>
      </w:r>
      <w:proofErr w:type="spellEnd"/>
    </w:p>
    <w:sectPr w:rsidR="00881D21" w:rsidRPr="002E1CA4">
      <w:pgSz w:w="12240" w:h="15840"/>
      <w:pgMar w:top="1418" w:right="1418" w:bottom="1418" w:left="2268"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A1F7DF" w14:textId="77777777" w:rsidR="00AC6685" w:rsidRDefault="00AC6685">
      <w:pPr>
        <w:spacing w:line="240" w:lineRule="auto"/>
      </w:pPr>
      <w:r>
        <w:separator/>
      </w:r>
    </w:p>
  </w:endnote>
  <w:endnote w:type="continuationSeparator" w:id="0">
    <w:p w14:paraId="508C430B" w14:textId="77777777" w:rsidR="00AC6685" w:rsidRDefault="00AC6685">
      <w:pPr>
        <w:spacing w:line="240" w:lineRule="auto"/>
      </w:pPr>
      <w:r>
        <w:continuationSeparator/>
      </w:r>
    </w:p>
  </w:endnote>
  <w:endnote w:type="continuationNotice" w:id="1">
    <w:p w14:paraId="601353B4" w14:textId="77777777" w:rsidR="00AC6685" w:rsidRDefault="00AC668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notTrueType/>
    <w:pitch w:val="variable"/>
    <w:sig w:usb0="800002E7" w:usb1="2AC7FCFF" w:usb2="00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9B022" w14:textId="77777777" w:rsidR="00881D21" w:rsidRDefault="00102041">
    <w:pPr>
      <w:pBdr>
        <w:top w:val="nil"/>
        <w:left w:val="nil"/>
        <w:bottom w:val="nil"/>
        <w:right w:val="nil"/>
        <w:between w:val="nil"/>
      </w:pBdr>
      <w:tabs>
        <w:tab w:val="center" w:pos="4419"/>
        <w:tab w:val="right" w:pos="8838"/>
      </w:tabs>
      <w:spacing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fldChar w:fldCharType="begin"/>
    </w:r>
    <w:r>
      <w:rPr>
        <w:rFonts w:ascii="Calibri" w:eastAsia="Calibri" w:hAnsi="Calibri" w:cs="Calibri"/>
        <w:color w:val="000000"/>
        <w:sz w:val="24"/>
        <w:szCs w:val="24"/>
      </w:rPr>
      <w:instrText>PAGE</w:instrText>
    </w:r>
    <w:r>
      <w:rPr>
        <w:rFonts w:ascii="Calibri" w:eastAsia="Calibri" w:hAnsi="Calibri" w:cs="Calibri"/>
        <w:color w:val="000000"/>
        <w:sz w:val="24"/>
        <w:szCs w:val="24"/>
      </w:rPr>
      <w:fldChar w:fldCharType="separate"/>
    </w:r>
    <w:r>
      <w:rPr>
        <w:rFonts w:ascii="Calibri" w:eastAsia="Calibri" w:hAnsi="Calibri" w:cs="Calibri"/>
        <w:color w:val="000000"/>
        <w:sz w:val="24"/>
        <w:szCs w:val="24"/>
      </w:rPr>
      <w:fldChar w:fldCharType="end"/>
    </w:r>
  </w:p>
  <w:p w14:paraId="2476CDD0" w14:textId="77777777" w:rsidR="00881D21" w:rsidRDefault="00881D21">
    <w:pPr>
      <w:pBdr>
        <w:top w:val="nil"/>
        <w:left w:val="nil"/>
        <w:bottom w:val="nil"/>
        <w:right w:val="nil"/>
        <w:between w:val="nil"/>
      </w:pBdr>
      <w:tabs>
        <w:tab w:val="center" w:pos="4419"/>
        <w:tab w:val="right" w:pos="8838"/>
      </w:tabs>
      <w:spacing w:line="240" w:lineRule="auto"/>
      <w:rPr>
        <w:rFonts w:ascii="Calibri" w:eastAsia="Calibri" w:hAnsi="Calibri" w:cs="Calibri"/>
        <w:color w:val="000000"/>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8D016" w14:textId="77777777" w:rsidR="00881D21" w:rsidRDefault="00102041">
    <w:pPr>
      <w:pBdr>
        <w:top w:val="nil"/>
        <w:left w:val="nil"/>
        <w:bottom w:val="nil"/>
        <w:right w:val="nil"/>
        <w:between w:val="nil"/>
      </w:pBdr>
      <w:tabs>
        <w:tab w:val="center" w:pos="4419"/>
        <w:tab w:val="right" w:pos="8838"/>
      </w:tabs>
      <w:spacing w:line="240" w:lineRule="auto"/>
      <w:jc w:val="center"/>
      <w:rPr>
        <w:rFonts w:ascii="Calibri" w:eastAsia="Calibri" w:hAnsi="Calibri" w:cs="Calibri"/>
        <w:color w:val="000000"/>
        <w:sz w:val="24"/>
        <w:szCs w:val="24"/>
      </w:rPr>
    </w:pPr>
    <w:r>
      <w:rPr>
        <w:rFonts w:ascii="Calibri" w:eastAsia="Calibri" w:hAnsi="Calibri" w:cs="Calibri"/>
        <w:color w:val="000000"/>
        <w:sz w:val="24"/>
        <w:szCs w:val="24"/>
      </w:rPr>
      <w:fldChar w:fldCharType="begin"/>
    </w:r>
    <w:r>
      <w:rPr>
        <w:rFonts w:ascii="Calibri" w:eastAsia="Calibri" w:hAnsi="Calibri" w:cs="Calibri"/>
        <w:color w:val="000000"/>
        <w:sz w:val="24"/>
        <w:szCs w:val="24"/>
      </w:rPr>
      <w:instrText>PAGE</w:instrText>
    </w:r>
    <w:r>
      <w:rPr>
        <w:rFonts w:ascii="Calibri" w:eastAsia="Calibri" w:hAnsi="Calibri" w:cs="Calibri"/>
        <w:color w:val="000000"/>
        <w:sz w:val="24"/>
        <w:szCs w:val="24"/>
      </w:rPr>
      <w:fldChar w:fldCharType="separate"/>
    </w:r>
    <w:r w:rsidR="00B0743B">
      <w:rPr>
        <w:rFonts w:ascii="Calibri" w:eastAsia="Calibri" w:hAnsi="Calibri" w:cs="Calibri"/>
        <w:noProof/>
        <w:color w:val="000000"/>
        <w:sz w:val="24"/>
        <w:szCs w:val="24"/>
      </w:rPr>
      <w:t>2</w:t>
    </w:r>
    <w:r>
      <w:rPr>
        <w:rFonts w:ascii="Calibri" w:eastAsia="Calibri" w:hAnsi="Calibri" w:cs="Calibri"/>
        <w:color w:val="000000"/>
        <w:sz w:val="24"/>
        <w:szCs w:val="24"/>
      </w:rPr>
      <w:fldChar w:fldCharType="end"/>
    </w:r>
  </w:p>
  <w:p w14:paraId="2683B77B" w14:textId="77777777" w:rsidR="00881D21" w:rsidRDefault="00881D21">
    <w:pPr>
      <w:pBdr>
        <w:top w:val="nil"/>
        <w:left w:val="nil"/>
        <w:bottom w:val="nil"/>
        <w:right w:val="nil"/>
        <w:between w:val="nil"/>
      </w:pBdr>
      <w:tabs>
        <w:tab w:val="center" w:pos="4419"/>
        <w:tab w:val="right" w:pos="8838"/>
      </w:tabs>
      <w:spacing w:line="240" w:lineRule="auto"/>
      <w:rPr>
        <w:rFonts w:ascii="Calibri" w:eastAsia="Calibri" w:hAnsi="Calibri" w:cs="Calibri"/>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C44B8" w14:textId="77777777" w:rsidR="00AC6685" w:rsidRDefault="00AC6685">
      <w:pPr>
        <w:spacing w:line="240" w:lineRule="auto"/>
      </w:pPr>
      <w:r>
        <w:separator/>
      </w:r>
    </w:p>
  </w:footnote>
  <w:footnote w:type="continuationSeparator" w:id="0">
    <w:p w14:paraId="7433C633" w14:textId="77777777" w:rsidR="00AC6685" w:rsidRDefault="00AC6685">
      <w:pPr>
        <w:spacing w:line="240" w:lineRule="auto"/>
      </w:pPr>
      <w:r>
        <w:continuationSeparator/>
      </w:r>
    </w:p>
  </w:footnote>
  <w:footnote w:type="continuationNotice" w:id="1">
    <w:p w14:paraId="30ACCEED" w14:textId="77777777" w:rsidR="00AC6685" w:rsidRDefault="00AC668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A06E8"/>
    <w:multiLevelType w:val="multilevel"/>
    <w:tmpl w:val="4C8AC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7165B5"/>
    <w:multiLevelType w:val="hybridMultilevel"/>
    <w:tmpl w:val="3FB6BC56"/>
    <w:lvl w:ilvl="0" w:tplc="04090001">
      <w:start w:val="1"/>
      <w:numFmt w:val="bullet"/>
      <w:lvlText w:val=""/>
      <w:lvlJc w:val="left"/>
      <w:pPr>
        <w:ind w:left="1070" w:hanging="360"/>
      </w:pPr>
      <w:rPr>
        <w:rFonts w:ascii="Symbol" w:hAnsi="Symbol" w:hint="default"/>
      </w:rPr>
    </w:lvl>
    <w:lvl w:ilvl="1" w:tplc="04090003" w:tentative="1">
      <w:start w:val="1"/>
      <w:numFmt w:val="bullet"/>
      <w:lvlText w:val="o"/>
      <w:lvlJc w:val="left"/>
      <w:pPr>
        <w:ind w:left="1790" w:hanging="360"/>
      </w:pPr>
      <w:rPr>
        <w:rFonts w:ascii="Courier New" w:hAnsi="Courier New" w:cs="Courier New" w:hint="default"/>
      </w:rPr>
    </w:lvl>
    <w:lvl w:ilvl="2" w:tplc="04090005" w:tentative="1">
      <w:start w:val="1"/>
      <w:numFmt w:val="bullet"/>
      <w:lvlText w:val=""/>
      <w:lvlJc w:val="left"/>
      <w:pPr>
        <w:ind w:left="2510" w:hanging="360"/>
      </w:pPr>
      <w:rPr>
        <w:rFonts w:ascii="Wingdings" w:hAnsi="Wingdings" w:hint="default"/>
      </w:rPr>
    </w:lvl>
    <w:lvl w:ilvl="3" w:tplc="04090001" w:tentative="1">
      <w:start w:val="1"/>
      <w:numFmt w:val="bullet"/>
      <w:lvlText w:val=""/>
      <w:lvlJc w:val="left"/>
      <w:pPr>
        <w:ind w:left="3230" w:hanging="360"/>
      </w:pPr>
      <w:rPr>
        <w:rFonts w:ascii="Symbol" w:hAnsi="Symbol" w:hint="default"/>
      </w:rPr>
    </w:lvl>
    <w:lvl w:ilvl="4" w:tplc="04090003" w:tentative="1">
      <w:start w:val="1"/>
      <w:numFmt w:val="bullet"/>
      <w:lvlText w:val="o"/>
      <w:lvlJc w:val="left"/>
      <w:pPr>
        <w:ind w:left="3950" w:hanging="360"/>
      </w:pPr>
      <w:rPr>
        <w:rFonts w:ascii="Courier New" w:hAnsi="Courier New" w:cs="Courier New" w:hint="default"/>
      </w:rPr>
    </w:lvl>
    <w:lvl w:ilvl="5" w:tplc="04090005" w:tentative="1">
      <w:start w:val="1"/>
      <w:numFmt w:val="bullet"/>
      <w:lvlText w:val=""/>
      <w:lvlJc w:val="left"/>
      <w:pPr>
        <w:ind w:left="4670" w:hanging="360"/>
      </w:pPr>
      <w:rPr>
        <w:rFonts w:ascii="Wingdings" w:hAnsi="Wingdings" w:hint="default"/>
      </w:rPr>
    </w:lvl>
    <w:lvl w:ilvl="6" w:tplc="04090001" w:tentative="1">
      <w:start w:val="1"/>
      <w:numFmt w:val="bullet"/>
      <w:lvlText w:val=""/>
      <w:lvlJc w:val="left"/>
      <w:pPr>
        <w:ind w:left="5390" w:hanging="360"/>
      </w:pPr>
      <w:rPr>
        <w:rFonts w:ascii="Symbol" w:hAnsi="Symbol" w:hint="default"/>
      </w:rPr>
    </w:lvl>
    <w:lvl w:ilvl="7" w:tplc="04090003" w:tentative="1">
      <w:start w:val="1"/>
      <w:numFmt w:val="bullet"/>
      <w:lvlText w:val="o"/>
      <w:lvlJc w:val="left"/>
      <w:pPr>
        <w:ind w:left="6110" w:hanging="360"/>
      </w:pPr>
      <w:rPr>
        <w:rFonts w:ascii="Courier New" w:hAnsi="Courier New" w:cs="Courier New" w:hint="default"/>
      </w:rPr>
    </w:lvl>
    <w:lvl w:ilvl="8" w:tplc="04090005" w:tentative="1">
      <w:start w:val="1"/>
      <w:numFmt w:val="bullet"/>
      <w:lvlText w:val=""/>
      <w:lvlJc w:val="left"/>
      <w:pPr>
        <w:ind w:left="6830" w:hanging="360"/>
      </w:pPr>
      <w:rPr>
        <w:rFonts w:ascii="Wingdings" w:hAnsi="Wingdings" w:hint="default"/>
      </w:rPr>
    </w:lvl>
  </w:abstractNum>
  <w:abstractNum w:abstractNumId="2" w15:restartNumberingAfterBreak="0">
    <w:nsid w:val="166F58CF"/>
    <w:multiLevelType w:val="multilevel"/>
    <w:tmpl w:val="6AE2D3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8CA6951"/>
    <w:multiLevelType w:val="multilevel"/>
    <w:tmpl w:val="2A8A7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450A30"/>
    <w:multiLevelType w:val="multilevel"/>
    <w:tmpl w:val="F0A47DB6"/>
    <w:lvl w:ilvl="0">
      <w:start w:val="1"/>
      <w:numFmt w:val="decimal"/>
      <w:lvlText w:val="%1."/>
      <w:lvlJc w:val="left"/>
      <w:pPr>
        <w:ind w:left="0" w:firstLine="0"/>
      </w:pPr>
      <w:rPr>
        <w:rFonts w:ascii="Arial" w:eastAsia="Arial" w:hAnsi="Arial" w:cs="Arial"/>
        <w:b w:val="0"/>
        <w:i w:val="0"/>
        <w:strike w:val="0"/>
        <w:color w:val="000000"/>
        <w:sz w:val="24"/>
        <w:szCs w:val="24"/>
        <w:u w:val="none"/>
        <w:shd w:val="clear" w:color="auto" w:fill="auto"/>
        <w:vertAlign w:val="baseline"/>
      </w:rPr>
    </w:lvl>
    <w:lvl w:ilvl="1">
      <w:start w:val="1"/>
      <w:numFmt w:val="lowerLetter"/>
      <w:lvlText w:val="%2"/>
      <w:lvlJc w:val="left"/>
      <w:pPr>
        <w:ind w:left="1440" w:hanging="1440"/>
      </w:pPr>
      <w:rPr>
        <w:rFonts w:ascii="Arial" w:eastAsia="Arial" w:hAnsi="Arial" w:cs="Arial"/>
        <w:b w:val="0"/>
        <w:i w:val="0"/>
        <w:strike w:val="0"/>
        <w:color w:val="000000"/>
        <w:sz w:val="24"/>
        <w:szCs w:val="24"/>
        <w:u w:val="none"/>
        <w:shd w:val="clear" w:color="auto" w:fill="auto"/>
        <w:vertAlign w:val="baseline"/>
      </w:rPr>
    </w:lvl>
    <w:lvl w:ilvl="2">
      <w:start w:val="1"/>
      <w:numFmt w:val="lowerRoman"/>
      <w:lvlText w:val="%3"/>
      <w:lvlJc w:val="left"/>
      <w:pPr>
        <w:ind w:left="2160" w:hanging="2160"/>
      </w:pPr>
      <w:rPr>
        <w:rFonts w:ascii="Arial" w:eastAsia="Arial" w:hAnsi="Arial" w:cs="Arial"/>
        <w:b w:val="0"/>
        <w:i w:val="0"/>
        <w:strike w:val="0"/>
        <w:color w:val="000000"/>
        <w:sz w:val="24"/>
        <w:szCs w:val="24"/>
        <w:u w:val="none"/>
        <w:shd w:val="clear" w:color="auto" w:fill="auto"/>
        <w:vertAlign w:val="baseline"/>
      </w:rPr>
    </w:lvl>
    <w:lvl w:ilvl="3">
      <w:start w:val="1"/>
      <w:numFmt w:val="decimal"/>
      <w:lvlText w:val="%4"/>
      <w:lvlJc w:val="left"/>
      <w:pPr>
        <w:ind w:left="2880" w:hanging="2880"/>
      </w:pPr>
      <w:rPr>
        <w:rFonts w:ascii="Arial" w:eastAsia="Arial" w:hAnsi="Arial" w:cs="Arial"/>
        <w:b w:val="0"/>
        <w:i w:val="0"/>
        <w:strike w:val="0"/>
        <w:color w:val="000000"/>
        <w:sz w:val="24"/>
        <w:szCs w:val="24"/>
        <w:u w:val="none"/>
        <w:shd w:val="clear" w:color="auto" w:fill="auto"/>
        <w:vertAlign w:val="baseline"/>
      </w:rPr>
    </w:lvl>
    <w:lvl w:ilvl="4">
      <w:start w:val="1"/>
      <w:numFmt w:val="lowerLetter"/>
      <w:lvlText w:val="%5"/>
      <w:lvlJc w:val="left"/>
      <w:pPr>
        <w:ind w:left="3600" w:hanging="3600"/>
      </w:pPr>
      <w:rPr>
        <w:rFonts w:ascii="Arial" w:eastAsia="Arial" w:hAnsi="Arial" w:cs="Arial"/>
        <w:b w:val="0"/>
        <w:i w:val="0"/>
        <w:strike w:val="0"/>
        <w:color w:val="000000"/>
        <w:sz w:val="24"/>
        <w:szCs w:val="24"/>
        <w:u w:val="none"/>
        <w:shd w:val="clear" w:color="auto" w:fill="auto"/>
        <w:vertAlign w:val="baseline"/>
      </w:rPr>
    </w:lvl>
    <w:lvl w:ilvl="5">
      <w:start w:val="1"/>
      <w:numFmt w:val="lowerRoman"/>
      <w:lvlText w:val="%6"/>
      <w:lvlJc w:val="left"/>
      <w:pPr>
        <w:ind w:left="4320" w:hanging="4320"/>
      </w:pPr>
      <w:rPr>
        <w:rFonts w:ascii="Arial" w:eastAsia="Arial" w:hAnsi="Arial" w:cs="Arial"/>
        <w:b w:val="0"/>
        <w:i w:val="0"/>
        <w:strike w:val="0"/>
        <w:color w:val="000000"/>
        <w:sz w:val="24"/>
        <w:szCs w:val="24"/>
        <w:u w:val="none"/>
        <w:shd w:val="clear" w:color="auto" w:fill="auto"/>
        <w:vertAlign w:val="baseline"/>
      </w:rPr>
    </w:lvl>
    <w:lvl w:ilvl="6">
      <w:start w:val="1"/>
      <w:numFmt w:val="decimal"/>
      <w:lvlText w:val="%7"/>
      <w:lvlJc w:val="left"/>
      <w:pPr>
        <w:ind w:left="5040" w:hanging="5040"/>
      </w:pPr>
      <w:rPr>
        <w:rFonts w:ascii="Arial" w:eastAsia="Arial" w:hAnsi="Arial" w:cs="Arial"/>
        <w:b w:val="0"/>
        <w:i w:val="0"/>
        <w:strike w:val="0"/>
        <w:color w:val="000000"/>
        <w:sz w:val="24"/>
        <w:szCs w:val="24"/>
        <w:u w:val="none"/>
        <w:shd w:val="clear" w:color="auto" w:fill="auto"/>
        <w:vertAlign w:val="baseline"/>
      </w:rPr>
    </w:lvl>
    <w:lvl w:ilvl="7">
      <w:start w:val="1"/>
      <w:numFmt w:val="lowerLetter"/>
      <w:lvlText w:val="%8"/>
      <w:lvlJc w:val="left"/>
      <w:pPr>
        <w:ind w:left="5760" w:hanging="5760"/>
      </w:pPr>
      <w:rPr>
        <w:rFonts w:ascii="Arial" w:eastAsia="Arial" w:hAnsi="Arial" w:cs="Arial"/>
        <w:b w:val="0"/>
        <w:i w:val="0"/>
        <w:strike w:val="0"/>
        <w:color w:val="000000"/>
        <w:sz w:val="24"/>
        <w:szCs w:val="24"/>
        <w:u w:val="none"/>
        <w:shd w:val="clear" w:color="auto" w:fill="auto"/>
        <w:vertAlign w:val="baseline"/>
      </w:rPr>
    </w:lvl>
    <w:lvl w:ilvl="8">
      <w:start w:val="1"/>
      <w:numFmt w:val="lowerRoman"/>
      <w:lvlText w:val="%9"/>
      <w:lvlJc w:val="left"/>
      <w:pPr>
        <w:ind w:left="6480" w:hanging="6480"/>
      </w:pPr>
      <w:rPr>
        <w:rFonts w:ascii="Arial" w:eastAsia="Arial" w:hAnsi="Arial" w:cs="Arial"/>
        <w:b w:val="0"/>
        <w:i w:val="0"/>
        <w:strike w:val="0"/>
        <w:color w:val="000000"/>
        <w:sz w:val="24"/>
        <w:szCs w:val="24"/>
        <w:u w:val="none"/>
        <w:shd w:val="clear" w:color="auto" w:fill="auto"/>
        <w:vertAlign w:val="baseline"/>
      </w:rPr>
    </w:lvl>
  </w:abstractNum>
  <w:abstractNum w:abstractNumId="5" w15:restartNumberingAfterBreak="0">
    <w:nsid w:val="55817103"/>
    <w:multiLevelType w:val="hybridMultilevel"/>
    <w:tmpl w:val="89282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410289"/>
    <w:multiLevelType w:val="hybridMultilevel"/>
    <w:tmpl w:val="3D160604"/>
    <w:lvl w:ilvl="0" w:tplc="0409000F">
      <w:start w:val="1"/>
      <w:numFmt w:val="decimal"/>
      <w:lvlText w:val="%1."/>
      <w:lvlJc w:val="left"/>
      <w:pPr>
        <w:ind w:left="710" w:hanging="360"/>
      </w:pPr>
    </w:lvl>
    <w:lvl w:ilvl="1" w:tplc="04090019" w:tentative="1">
      <w:start w:val="1"/>
      <w:numFmt w:val="lowerLetter"/>
      <w:lvlText w:val="%2."/>
      <w:lvlJc w:val="left"/>
      <w:pPr>
        <w:ind w:left="1430" w:hanging="360"/>
      </w:pPr>
    </w:lvl>
    <w:lvl w:ilvl="2" w:tplc="0409001B" w:tentative="1">
      <w:start w:val="1"/>
      <w:numFmt w:val="lowerRoman"/>
      <w:lvlText w:val="%3."/>
      <w:lvlJc w:val="right"/>
      <w:pPr>
        <w:ind w:left="2150" w:hanging="180"/>
      </w:pPr>
    </w:lvl>
    <w:lvl w:ilvl="3" w:tplc="0409000F" w:tentative="1">
      <w:start w:val="1"/>
      <w:numFmt w:val="decimal"/>
      <w:lvlText w:val="%4."/>
      <w:lvlJc w:val="left"/>
      <w:pPr>
        <w:ind w:left="2870" w:hanging="360"/>
      </w:pPr>
    </w:lvl>
    <w:lvl w:ilvl="4" w:tplc="04090019" w:tentative="1">
      <w:start w:val="1"/>
      <w:numFmt w:val="lowerLetter"/>
      <w:lvlText w:val="%5."/>
      <w:lvlJc w:val="left"/>
      <w:pPr>
        <w:ind w:left="3590" w:hanging="360"/>
      </w:pPr>
    </w:lvl>
    <w:lvl w:ilvl="5" w:tplc="0409001B" w:tentative="1">
      <w:start w:val="1"/>
      <w:numFmt w:val="lowerRoman"/>
      <w:lvlText w:val="%6."/>
      <w:lvlJc w:val="right"/>
      <w:pPr>
        <w:ind w:left="4310" w:hanging="180"/>
      </w:pPr>
    </w:lvl>
    <w:lvl w:ilvl="6" w:tplc="0409000F" w:tentative="1">
      <w:start w:val="1"/>
      <w:numFmt w:val="decimal"/>
      <w:lvlText w:val="%7."/>
      <w:lvlJc w:val="left"/>
      <w:pPr>
        <w:ind w:left="5030" w:hanging="360"/>
      </w:pPr>
    </w:lvl>
    <w:lvl w:ilvl="7" w:tplc="04090019" w:tentative="1">
      <w:start w:val="1"/>
      <w:numFmt w:val="lowerLetter"/>
      <w:lvlText w:val="%8."/>
      <w:lvlJc w:val="left"/>
      <w:pPr>
        <w:ind w:left="5750" w:hanging="360"/>
      </w:pPr>
    </w:lvl>
    <w:lvl w:ilvl="8" w:tplc="0409001B" w:tentative="1">
      <w:start w:val="1"/>
      <w:numFmt w:val="lowerRoman"/>
      <w:lvlText w:val="%9."/>
      <w:lvlJc w:val="right"/>
      <w:pPr>
        <w:ind w:left="6470" w:hanging="180"/>
      </w:pPr>
    </w:lvl>
  </w:abstractNum>
  <w:abstractNum w:abstractNumId="7" w15:restartNumberingAfterBreak="0">
    <w:nsid w:val="6BF15035"/>
    <w:multiLevelType w:val="hybridMultilevel"/>
    <w:tmpl w:val="771A9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034C3D"/>
    <w:multiLevelType w:val="multilevel"/>
    <w:tmpl w:val="172A1882"/>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9" w15:restartNumberingAfterBreak="0">
    <w:nsid w:val="70496BA7"/>
    <w:multiLevelType w:val="hybridMultilevel"/>
    <w:tmpl w:val="54801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38A52E0"/>
    <w:multiLevelType w:val="multilevel"/>
    <w:tmpl w:val="64A6C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0F349D"/>
    <w:multiLevelType w:val="multilevel"/>
    <w:tmpl w:val="2F02E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533DF4"/>
    <w:multiLevelType w:val="multilevel"/>
    <w:tmpl w:val="D4B83788"/>
    <w:lvl w:ilvl="0">
      <w:start w:val="1"/>
      <w:numFmt w:val="decimal"/>
      <w:lvlText w:val="%1"/>
      <w:lvlJc w:val="left"/>
      <w:pPr>
        <w:ind w:left="520" w:hanging="520"/>
      </w:pPr>
    </w:lvl>
    <w:lvl w:ilvl="1">
      <w:start w:val="1"/>
      <w:numFmt w:val="decimal"/>
      <w:lvlText w:val="%1.%2"/>
      <w:lvlJc w:val="left"/>
      <w:pPr>
        <w:ind w:left="520" w:hanging="5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3" w15:restartNumberingAfterBreak="0">
    <w:nsid w:val="7C5A62BB"/>
    <w:multiLevelType w:val="multilevel"/>
    <w:tmpl w:val="EC9CE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39822699">
    <w:abstractNumId w:val="2"/>
  </w:num>
  <w:num w:numId="2" w16cid:durableId="927497884">
    <w:abstractNumId w:val="8"/>
  </w:num>
  <w:num w:numId="3" w16cid:durableId="844636573">
    <w:abstractNumId w:val="4"/>
  </w:num>
  <w:num w:numId="4" w16cid:durableId="514348176">
    <w:abstractNumId w:val="12"/>
  </w:num>
  <w:num w:numId="5" w16cid:durableId="473986648">
    <w:abstractNumId w:val="7"/>
  </w:num>
  <w:num w:numId="6" w16cid:durableId="528495494">
    <w:abstractNumId w:val="6"/>
  </w:num>
  <w:num w:numId="7" w16cid:durableId="1691565180">
    <w:abstractNumId w:val="1"/>
  </w:num>
  <w:num w:numId="8" w16cid:durableId="1511019085">
    <w:abstractNumId w:val="3"/>
  </w:num>
  <w:num w:numId="9" w16cid:durableId="1482306532">
    <w:abstractNumId w:val="11"/>
  </w:num>
  <w:num w:numId="10" w16cid:durableId="1761679437">
    <w:abstractNumId w:val="10"/>
  </w:num>
  <w:num w:numId="11" w16cid:durableId="1350793477">
    <w:abstractNumId w:val="13"/>
  </w:num>
  <w:num w:numId="12" w16cid:durableId="1782608855">
    <w:abstractNumId w:val="0"/>
  </w:num>
  <w:num w:numId="13" w16cid:durableId="773673264">
    <w:abstractNumId w:val="5"/>
  </w:num>
  <w:num w:numId="14" w16cid:durableId="11696379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D21"/>
    <w:rsid w:val="000731D2"/>
    <w:rsid w:val="00092C05"/>
    <w:rsid w:val="000B3067"/>
    <w:rsid w:val="000E5AF3"/>
    <w:rsid w:val="00102041"/>
    <w:rsid w:val="001279C1"/>
    <w:rsid w:val="00153BBE"/>
    <w:rsid w:val="00173EC8"/>
    <w:rsid w:val="00190005"/>
    <w:rsid w:val="001A0B18"/>
    <w:rsid w:val="001A47E2"/>
    <w:rsid w:val="001A7F26"/>
    <w:rsid w:val="001D6781"/>
    <w:rsid w:val="002264B7"/>
    <w:rsid w:val="002855B5"/>
    <w:rsid w:val="002A2D8E"/>
    <w:rsid w:val="002A3ECB"/>
    <w:rsid w:val="002C1206"/>
    <w:rsid w:val="002E1CA4"/>
    <w:rsid w:val="002E56AC"/>
    <w:rsid w:val="003501F9"/>
    <w:rsid w:val="00382211"/>
    <w:rsid w:val="003B171B"/>
    <w:rsid w:val="003C0BC2"/>
    <w:rsid w:val="003C53EB"/>
    <w:rsid w:val="0043722C"/>
    <w:rsid w:val="00454F46"/>
    <w:rsid w:val="005031A5"/>
    <w:rsid w:val="00515F6E"/>
    <w:rsid w:val="00534DC3"/>
    <w:rsid w:val="00553D7E"/>
    <w:rsid w:val="00556991"/>
    <w:rsid w:val="005826DC"/>
    <w:rsid w:val="005D5434"/>
    <w:rsid w:val="005E2B9B"/>
    <w:rsid w:val="00602DCE"/>
    <w:rsid w:val="00622458"/>
    <w:rsid w:val="0064134B"/>
    <w:rsid w:val="00662775"/>
    <w:rsid w:val="00674851"/>
    <w:rsid w:val="006749BC"/>
    <w:rsid w:val="00687849"/>
    <w:rsid w:val="006B31C8"/>
    <w:rsid w:val="006D08F1"/>
    <w:rsid w:val="006D6DD1"/>
    <w:rsid w:val="0070471E"/>
    <w:rsid w:val="007228D5"/>
    <w:rsid w:val="00733351"/>
    <w:rsid w:val="0075336A"/>
    <w:rsid w:val="00761666"/>
    <w:rsid w:val="00784770"/>
    <w:rsid w:val="007D6543"/>
    <w:rsid w:val="007F1586"/>
    <w:rsid w:val="00881D21"/>
    <w:rsid w:val="008956EC"/>
    <w:rsid w:val="008A2A68"/>
    <w:rsid w:val="008B5B13"/>
    <w:rsid w:val="008C7504"/>
    <w:rsid w:val="008F6988"/>
    <w:rsid w:val="00913294"/>
    <w:rsid w:val="009306A1"/>
    <w:rsid w:val="00955F58"/>
    <w:rsid w:val="009622C9"/>
    <w:rsid w:val="009648C7"/>
    <w:rsid w:val="009932F6"/>
    <w:rsid w:val="00A0461B"/>
    <w:rsid w:val="00A3288C"/>
    <w:rsid w:val="00A42DB9"/>
    <w:rsid w:val="00A463CD"/>
    <w:rsid w:val="00A920D1"/>
    <w:rsid w:val="00AB7601"/>
    <w:rsid w:val="00AC6685"/>
    <w:rsid w:val="00AC6717"/>
    <w:rsid w:val="00AD4A20"/>
    <w:rsid w:val="00AF5FF3"/>
    <w:rsid w:val="00B0743B"/>
    <w:rsid w:val="00BA0560"/>
    <w:rsid w:val="00BC2E50"/>
    <w:rsid w:val="00BC6124"/>
    <w:rsid w:val="00BF0A2C"/>
    <w:rsid w:val="00BF4CD4"/>
    <w:rsid w:val="00BF54AC"/>
    <w:rsid w:val="00C31377"/>
    <w:rsid w:val="00C84C7F"/>
    <w:rsid w:val="00C8591B"/>
    <w:rsid w:val="00CB4998"/>
    <w:rsid w:val="00CB531C"/>
    <w:rsid w:val="00D51A08"/>
    <w:rsid w:val="00D619FB"/>
    <w:rsid w:val="00D7731B"/>
    <w:rsid w:val="00DA1D80"/>
    <w:rsid w:val="00DC422E"/>
    <w:rsid w:val="00DE7565"/>
    <w:rsid w:val="00E52C5C"/>
    <w:rsid w:val="00E73DED"/>
    <w:rsid w:val="00E7716F"/>
    <w:rsid w:val="00ED473C"/>
    <w:rsid w:val="00F028A7"/>
    <w:rsid w:val="00F271FB"/>
    <w:rsid w:val="00F3707B"/>
    <w:rsid w:val="00F5007B"/>
    <w:rsid w:val="00F818DE"/>
    <w:rsid w:val="00F86671"/>
    <w:rsid w:val="00F93C1C"/>
    <w:rsid w:val="00FC48C1"/>
    <w:rsid w:val="02D13CB7"/>
    <w:rsid w:val="1208528E"/>
    <w:rsid w:val="1C41BDA1"/>
    <w:rsid w:val="4E70584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F6F6B6"/>
  <w15:docId w15:val="{CDEC5B7E-6EE1-4209-8F15-0AF1AC789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9C1"/>
    <w:rPr>
      <w:lang w:val="es-ES"/>
    </w:rPr>
  </w:style>
  <w:style w:type="paragraph" w:styleId="Heading1">
    <w:name w:val="heading 1"/>
    <w:basedOn w:val="Normal"/>
    <w:next w:val="Normal"/>
    <w:link w:val="Heading1Char"/>
    <w:uiPriority w:val="9"/>
    <w:qFormat/>
    <w:rsid w:val="0019145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Header">
    <w:name w:val="header"/>
    <w:basedOn w:val="Normal"/>
    <w:link w:val="HeaderChar"/>
    <w:uiPriority w:val="99"/>
    <w:unhideWhenUsed/>
    <w:rsid w:val="00EC5D21"/>
    <w:pPr>
      <w:tabs>
        <w:tab w:val="center" w:pos="4419"/>
        <w:tab w:val="right" w:pos="8838"/>
      </w:tabs>
    </w:pPr>
  </w:style>
  <w:style w:type="character" w:customStyle="1" w:styleId="HeaderChar">
    <w:name w:val="Header Char"/>
    <w:basedOn w:val="DefaultParagraphFont"/>
    <w:link w:val="Header"/>
    <w:uiPriority w:val="99"/>
    <w:rsid w:val="00EC5D21"/>
  </w:style>
  <w:style w:type="paragraph" w:styleId="Footer">
    <w:name w:val="footer"/>
    <w:basedOn w:val="Normal"/>
    <w:link w:val="FooterChar"/>
    <w:uiPriority w:val="99"/>
    <w:unhideWhenUsed/>
    <w:rsid w:val="00EC5D21"/>
    <w:pPr>
      <w:tabs>
        <w:tab w:val="center" w:pos="4419"/>
        <w:tab w:val="right" w:pos="8838"/>
      </w:tabs>
    </w:pPr>
  </w:style>
  <w:style w:type="character" w:customStyle="1" w:styleId="FooterChar">
    <w:name w:val="Footer Char"/>
    <w:basedOn w:val="DefaultParagraphFont"/>
    <w:link w:val="Footer"/>
    <w:uiPriority w:val="99"/>
    <w:rsid w:val="00EC5D21"/>
  </w:style>
  <w:style w:type="paragraph" w:styleId="TOC1">
    <w:name w:val="toc 1"/>
    <w:basedOn w:val="Normal"/>
    <w:next w:val="Normal"/>
    <w:autoRedefine/>
    <w:uiPriority w:val="39"/>
    <w:unhideWhenUsed/>
    <w:rsid w:val="00F31444"/>
    <w:pPr>
      <w:tabs>
        <w:tab w:val="right" w:leader="dot" w:pos="8544"/>
      </w:tabs>
    </w:pPr>
  </w:style>
  <w:style w:type="character" w:styleId="Hyperlink">
    <w:name w:val="Hyperlink"/>
    <w:basedOn w:val="DefaultParagraphFont"/>
    <w:uiPriority w:val="99"/>
    <w:unhideWhenUsed/>
    <w:rsid w:val="0019145F"/>
    <w:rPr>
      <w:color w:val="0563C1" w:themeColor="hyperlink"/>
      <w:u w:val="single"/>
    </w:rPr>
  </w:style>
  <w:style w:type="character" w:customStyle="1" w:styleId="Heading1Char">
    <w:name w:val="Heading 1 Char"/>
    <w:basedOn w:val="DefaultParagraphFont"/>
    <w:link w:val="Heading1"/>
    <w:uiPriority w:val="9"/>
    <w:rsid w:val="0019145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9145F"/>
    <w:pPr>
      <w:spacing w:line="259" w:lineRule="auto"/>
      <w:outlineLvl w:val="9"/>
    </w:pPr>
    <w:rPr>
      <w:lang w:eastAsia="es-MX"/>
    </w:rPr>
  </w:style>
  <w:style w:type="paragraph" w:styleId="ListParagraph">
    <w:name w:val="List Paragraph"/>
    <w:basedOn w:val="Normal"/>
    <w:uiPriority w:val="34"/>
    <w:qFormat/>
    <w:rsid w:val="0019145F"/>
    <w:pPr>
      <w:spacing w:after="160" w:line="259" w:lineRule="auto"/>
      <w:ind w:left="720"/>
      <w:contextualSpacing/>
    </w:pPr>
  </w:style>
  <w:style w:type="paragraph" w:styleId="NormalWeb">
    <w:name w:val="Normal (Web)"/>
    <w:basedOn w:val="Normal"/>
    <w:uiPriority w:val="99"/>
    <w:semiHidden/>
    <w:unhideWhenUsed/>
    <w:rsid w:val="0019145F"/>
    <w:pPr>
      <w:spacing w:before="100" w:beforeAutospacing="1" w:after="100" w:afterAutospacing="1"/>
    </w:pPr>
    <w:rPr>
      <w:rFonts w:ascii="Times New Roman" w:eastAsia="Times New Roman" w:hAnsi="Times New Roman" w:cs="Times New Roman"/>
      <w:lang w:eastAsia="es-MX"/>
    </w:rPr>
  </w:style>
  <w:style w:type="character" w:styleId="PageNumber">
    <w:name w:val="page number"/>
    <w:basedOn w:val="DefaultParagraphFont"/>
    <w:uiPriority w:val="99"/>
    <w:semiHidden/>
    <w:unhideWhenUsed/>
    <w:rsid w:val="0019145F"/>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uiPriority w:val="1"/>
    <w:qFormat/>
    <w:rsid w:val="00B0743B"/>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7481478">
      <w:bodyDiv w:val="1"/>
      <w:marLeft w:val="0"/>
      <w:marRight w:val="0"/>
      <w:marTop w:val="0"/>
      <w:marBottom w:val="0"/>
      <w:divBdr>
        <w:top w:val="none" w:sz="0" w:space="0" w:color="auto"/>
        <w:left w:val="none" w:sz="0" w:space="0" w:color="auto"/>
        <w:bottom w:val="none" w:sz="0" w:space="0" w:color="auto"/>
        <w:right w:val="none" w:sz="0" w:space="0" w:color="auto"/>
      </w:divBdr>
      <w:divsChild>
        <w:div w:id="302152563">
          <w:marLeft w:val="0"/>
          <w:marRight w:val="0"/>
          <w:marTop w:val="0"/>
          <w:marBottom w:val="0"/>
          <w:divBdr>
            <w:top w:val="none" w:sz="0" w:space="0" w:color="auto"/>
            <w:left w:val="none" w:sz="0" w:space="0" w:color="auto"/>
            <w:bottom w:val="none" w:sz="0" w:space="0" w:color="auto"/>
            <w:right w:val="none" w:sz="0" w:space="0" w:color="auto"/>
          </w:divBdr>
          <w:divsChild>
            <w:div w:id="1154178722">
              <w:marLeft w:val="0"/>
              <w:marRight w:val="0"/>
              <w:marTop w:val="0"/>
              <w:marBottom w:val="0"/>
              <w:divBdr>
                <w:top w:val="none" w:sz="0" w:space="0" w:color="auto"/>
                <w:left w:val="none" w:sz="0" w:space="0" w:color="auto"/>
                <w:bottom w:val="none" w:sz="0" w:space="0" w:color="auto"/>
                <w:right w:val="none" w:sz="0" w:space="0" w:color="auto"/>
              </w:divBdr>
              <w:divsChild>
                <w:div w:id="36479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050838">
      <w:bodyDiv w:val="1"/>
      <w:marLeft w:val="0"/>
      <w:marRight w:val="0"/>
      <w:marTop w:val="0"/>
      <w:marBottom w:val="0"/>
      <w:divBdr>
        <w:top w:val="none" w:sz="0" w:space="0" w:color="auto"/>
        <w:left w:val="none" w:sz="0" w:space="0" w:color="auto"/>
        <w:bottom w:val="none" w:sz="0" w:space="0" w:color="auto"/>
        <w:right w:val="none" w:sz="0" w:space="0" w:color="auto"/>
      </w:divBdr>
    </w:div>
    <w:div w:id="1000233805">
      <w:bodyDiv w:val="1"/>
      <w:marLeft w:val="0"/>
      <w:marRight w:val="0"/>
      <w:marTop w:val="0"/>
      <w:marBottom w:val="0"/>
      <w:divBdr>
        <w:top w:val="none" w:sz="0" w:space="0" w:color="auto"/>
        <w:left w:val="none" w:sz="0" w:space="0" w:color="auto"/>
        <w:bottom w:val="none" w:sz="0" w:space="0" w:color="auto"/>
        <w:right w:val="none" w:sz="0" w:space="0" w:color="auto"/>
      </w:divBdr>
    </w:div>
    <w:div w:id="16106968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rmuN4+xvHtHj+wkI9gxSlFxEBQ==">CgMxLjAyCGguZ2pkZ3hzMgloLjMwajB6bGw4AHIhMW90QlhvUER2bElYTlVRSnV1dGZESGFVUnlYRy1lcldF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36</Pages>
  <Words>7514</Words>
  <Characters>42835</Characters>
  <Application>Microsoft Office Word</Application>
  <DocSecurity>0</DocSecurity>
  <Lines>356</Lines>
  <Paragraphs>100</Paragraphs>
  <ScaleCrop>false</ScaleCrop>
  <Company/>
  <LinksUpToDate>false</LinksUpToDate>
  <CharactersWithSpaces>50249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LUCERO ISABEL BELTRAN GARCIA</dc:creator>
  <cp:keywords/>
  <cp:lastModifiedBy>MARCO ANTONIO OBREGON FLORES</cp:lastModifiedBy>
  <cp:revision>7</cp:revision>
  <dcterms:created xsi:type="dcterms:W3CDTF">2024-07-24T00:17:00Z</dcterms:created>
  <dcterms:modified xsi:type="dcterms:W3CDTF">2025-01-21T22:19:00Z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0x010100D59665BE9BFACE4CB82AA45A1E990918</vt:lpwstr>
  </property>
  <property fmtid="{D5CDD505-2E9C-101B-9397-08002B2CF9AE}" pid="3" name="MediaServiceImageTags">
    <vt:lpwstr>MediaServiceImageTags</vt:lpwstr>
  </property>
</Properties>
</file>