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2B670333" w:rsidR="00373B02" w:rsidRDefault="00373B02" w:rsidP="00373B02">
      <w:r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373B02">
      <w:pPr>
        <w:pStyle w:val="Titolo"/>
      </w:pPr>
      <w:r>
        <w:t>Relazione Labo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>Il codice del laboratorio è suddiviso in 3 parti: funzioni ausiliare, esercizi e main.</w:t>
      </w:r>
    </w:p>
    <w:p w14:paraId="2876DEB7" w14:textId="18DCF43B" w:rsidR="00373B02" w:rsidRDefault="00373B02" w:rsidP="00373B02">
      <w:pPr>
        <w:pStyle w:val="Titolo1"/>
      </w:pPr>
      <w:r>
        <w:t>Funzioni ausiliarie</w:t>
      </w:r>
    </w:p>
    <w:p w14:paraId="656AE403" w14:textId="4E70C9AA" w:rsidR="00B04065" w:rsidRP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11289130" w14:textId="4AAF89DA" w:rsidR="00373B02" w:rsidRDefault="00373B02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373B02">
        <w:rPr>
          <w:b/>
          <w:bCs/>
          <w:i/>
          <w:iCs/>
        </w:rPr>
        <w:t>int f</w:t>
      </w:r>
      <w:r w:rsidRPr="00373B02">
        <w:rPr>
          <w:b/>
          <w:bCs/>
          <w:i/>
          <w:iCs/>
        </w:rPr>
        <w:t>attoriale</w:t>
      </w:r>
      <w:r w:rsidRPr="00373B02">
        <w:rPr>
          <w:b/>
          <w:bCs/>
          <w:i/>
          <w:iCs/>
        </w:rPr>
        <w:t>(int 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r>
        <w:t>Rinominazione della funzione esponenziale exp (e</w:t>
      </w:r>
      <w:r>
        <w:rPr>
          <w:vertAlign w:val="superscript"/>
        </w:rPr>
        <w:t>x</w:t>
      </w:r>
      <w:r>
        <w:t>) ottenuta dalla libreria cmath.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>double fNx(double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5FCECF12" w:rsidR="004750EE" w:rsidRPr="004750EE" w:rsidRDefault="004750EE" w:rsidP="00C0488A">
      <w:pPr>
        <w:pStyle w:val="Paragrafoelenc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49C623EE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ricorsione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{</m:t>
        </m:r>
        <m:r>
          <w:rPr>
            <w:rFonts w:ascii="Cambria Math" w:eastAsiaTheme="minorEastAsia" w:hAnsi="Cambria Math"/>
            <w:sz w:val="24"/>
            <w:szCs w:val="24"/>
          </w:rPr>
          <m:t>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!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36009E30" w14:textId="77777777" w:rsidR="00373B02" w:rsidRPr="00373B02" w:rsidRDefault="00373B02" w:rsidP="00373B02"/>
    <w:sectPr w:rsidR="00373B02" w:rsidRPr="00373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D2466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112AB5"/>
    <w:rsid w:val="00373B02"/>
    <w:rsid w:val="004750EE"/>
    <w:rsid w:val="004845A5"/>
    <w:rsid w:val="005F2196"/>
    <w:rsid w:val="00B04065"/>
    <w:rsid w:val="00B201DB"/>
    <w:rsid w:val="00C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3</cp:revision>
  <dcterms:created xsi:type="dcterms:W3CDTF">2023-11-15T08:53:00Z</dcterms:created>
  <dcterms:modified xsi:type="dcterms:W3CDTF">2023-11-15T09:37:00Z</dcterms:modified>
</cp:coreProperties>
</file>