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2"/>
          <w:szCs w:val="22"/>
        </w:rPr>
        <w:t xml:space="preserve">KEMENTERIAN KOMUNIKASI DAN DIGITAL REPUBLIK INDONESIA</w:t>
      </w:r>
    </w:p>
    <w:p>
      <w:pPr>
        <w:jc w:val="center"/>
      </w:pPr>
      <w:r>
        <w:rPr>
          <w:b/>
          <w:bCs/>
          <w:sz w:val="22"/>
          <w:szCs w:val="22"/>
        </w:rPr>
        <w:t xml:space="preserve">INSPEKTORAT JENDERAL — INSPEKTORAT II</w:t>
      </w:r>
    </w:p>
    <w:p>
      <w:r>
        <w:t xml:space="preserve"/>
      </w:r>
    </w:p>
    <w:p>
      <w:pPr>
        <w:pStyle w:val="Heading1"/>
        <w:jc w:val="center"/>
      </w:pPr>
      <w:r>
        <w:rPr>
          <w:b/>
          <w:bCs/>
        </w:rPr>
        <w:t xml:space="preserve">KARTU PENUGASAN</w:t>
      </w:r>
    </w:p>
    <w:p>
      <w:pPr>
        <w:spacing w:after="240"/>
        <w:jc w:val="center"/>
      </w:pPr>
      <w:r>
        <w:rPr>
          <w:b/>
          <w:bCs/>
          <w:sz w:val="22"/>
          <w:szCs w:val="22"/>
        </w:rPr>
        <w:t xml:space="preserve">EVALUASI EFEKTIVITAS MANAJEMEN RISIKO</w:t>
      </w:r>
    </w:p>
    <w:p>
      <w:pPr>
        <w:pStyle w:val="Heading2"/>
        <w:jc w:val="left"/>
      </w:pPr>
      <w:r>
        <w:rPr>
          <w:b/>
          <w:bCs/>
        </w:rPr>
        <w:t xml:space="preserve">A. IDENTITAS PENUGASAN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Nomor Surat Tugas</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{{NOMOR_ST}}</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Tanggal Surat Tugas</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{{TGL_ST}}</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Jenis Pengawasan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Evaluasi Efektivitas Manajemen Risiko</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Kode Nomor Surat</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PW.04.05</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Objek Pengawasan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{{OBJEK}}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Tahun Anggaran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{{TAHUN}}</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Periode Pelaksanaan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{{TGL_MULAI}} s.d. {{TGL_SELESAI}}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Jangka Waktu</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{{JUMLAH_HARI}} hari kerja, terhitung sejak tanggal {{TGL_MULAI}} sampai dengan {{TGL_SELESAI}}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Tingkat Risiko</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{{TINGKAT_RISIKO}}</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Tingkat Keyakinan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Terbatas (limited assurance) — berbasis uji petik</w:t>
            </w:r>
          </w:p>
        </w:tc>
      </w:tr>
    </w:tbl>
    <w:p>
      <w:r>
        <w:t xml:space="preserve"/>
      </w:r>
    </w:p>
    <w:p>
      <w:pPr>
        <w:pStyle w:val="Heading2"/>
        <w:jc w:val="left"/>
      </w:pPr>
      <w:r>
        <w:rPr>
          <w:b/>
          <w:bCs/>
        </w:rPr>
        <w:t xml:space="preserve">B. DASAR HUKUM PENUGASAN</w:t>
      </w:r>
    </w:p>
    <w:p>
      <w:pPr>
        <w:pStyle w:val="ListParagraph"/>
        <w:numPr>
          <w:ilvl w:val="0"/>
          <w:numId w:val="2"/>
        </w:numPr>
        <w:spacing w:after="80"/>
      </w:pPr>
      <w:r>
        <w:t xml:space="preserve">Peraturan Pemerintah Nomor 60 Tahun 2008 tentang Sistem Pengendalian Intern Pemerintah</w:t>
      </w:r>
    </w:p>
    <w:p>
      <w:pPr>
        <w:pStyle w:val="ListParagraph"/>
        <w:numPr>
          <w:ilvl w:val="0"/>
          <w:numId w:val="2"/>
        </w:numPr>
        <w:spacing w:after="80"/>
      </w:pPr>
      <w:r>
        <w:t xml:space="preserve">Pedoman Menteri Komunikasi dan Informatika Nomor 6 Tahun 2017 tentang Manajemen Risiko di Lingkungan Kementerian Komunikasi dan Informatika</w:t>
      </w:r>
    </w:p>
    <w:p>
      <w:pPr>
        <w:pStyle w:val="ListParagraph"/>
        <w:numPr>
          <w:ilvl w:val="0"/>
          <w:numId w:val="2"/>
        </w:numPr>
        <w:spacing w:after="80"/>
      </w:pPr>
      <w:r>
        <w:t xml:space="preserve">ISO 31000:2018 — Risk Management Guidelines (referensi pendukung)</w:t>
      </w:r>
    </w:p>
    <w:p>
      <w:pPr>
        <w:pStyle w:val="ListParagraph"/>
        <w:numPr>
          <w:ilvl w:val="0"/>
          <w:numId w:val="2"/>
        </w:numPr>
        <w:spacing w:after="80"/>
      </w:pPr>
      <w:r>
        <w:t xml:space="preserve">Program Kerja Pengawasan Tahunan (PKPT) Inspektorat Jenderal Komdigi Tahun {{TAHUN}}</w:t>
      </w:r>
    </w:p>
    <w:p>
      <w:r>
        <w:t xml:space="preserve"/>
      </w:r>
    </w:p>
    <w:p>
      <w:pPr>
        <w:pStyle w:val="Heading2"/>
        <w:jc w:val="left"/>
      </w:pPr>
      <w:r>
        <w:rPr>
          <w:b/>
          <w:bCs/>
        </w:rPr>
        <w:t xml:space="preserve">C. TUJUAN PENGAWASAN</w:t>
      </w:r>
    </w:p>
    <w:p>
      <w:pPr>
        <w:spacing w:after="120"/>
        <w:jc w:val="both"/>
      </w:pPr>
      <w:r>
        <w:rPr>
          <w:b w:val="false"/>
          <w:bCs w:val="false"/>
          <w:i w:val="false"/>
          <w:iCs w:val="false"/>
        </w:rPr>
        <w:t xml:space="preserve">Memberikan keyakinan terbatas atas efektivitas penerapan Manajemen Risiko di {{OBJEK}} Tahun {{TAHUN}} berdasarkan Pedoman Menkomdigi Nomor 6 Tahun 2017, serta merumuskan rekomendasi perbaikan yang konstruktif.</w:t>
      </w:r>
    </w:p>
    <w:p>
      <w:r>
        <w:t xml:space="preserve"/>
      </w:r>
    </w:p>
    <w:p>
      <w:pPr>
        <w:pStyle w:val="Heading2"/>
        <w:jc w:val="left"/>
      </w:pPr>
      <w:r>
        <w:rPr>
          <w:b/>
          <w:bCs/>
        </w:rPr>
        <w:t xml:space="preserve">D. SASARAN PENGAWASAN</w:t>
      </w:r>
    </w:p>
    <w:p>
      <w:pPr>
        <w:spacing w:after="120"/>
        <w:jc w:val="left"/>
      </w:pPr>
      <w:r>
        <w:rPr>
          <w:b w:val="false"/>
          <w:bCs w:val="false"/>
          <w:i w:val="false"/>
          <w:iCs w:val="false"/>
        </w:rPr>
        <w:t xml:space="preserve">Sasaran pengawasan ini meliputi pemeriksaan terhadap:</w:t>
      </w:r>
    </w:p>
    <w:p>
      <w:pPr>
        <w:pStyle w:val="ListParagraph"/>
        <w:numPr>
          <w:ilvl w:val="0"/>
          <w:numId w:val="2"/>
        </w:numPr>
        <w:spacing w:after="80"/>
      </w:pPr>
      <w:r>
        <w:t xml:space="preserve">Kelengkapan struktur MR (KMR, UPR, Pemilik Risiko, Koordinator Risiko, Admin Risiko);</w:t>
      </w:r>
    </w:p>
    <w:p>
      <w:pPr>
        <w:pStyle w:val="ListParagraph"/>
        <w:numPr>
          <w:ilvl w:val="0"/>
          <w:numId w:val="2"/>
        </w:numPr>
        <w:spacing w:after="80"/>
      </w:pPr>
      <w:r>
        <w:t xml:space="preserve">Kelengkapan 7 elemen Penetapan Konteks (Formulir 1);</w:t>
      </w:r>
    </w:p>
    <w:p>
      <w:pPr>
        <w:pStyle w:val="ListParagraph"/>
        <w:numPr>
          <w:ilvl w:val="0"/>
          <w:numId w:val="2"/>
        </w:numPr>
        <w:spacing w:after="80"/>
      </w:pPr>
      <w:r>
        <w:t xml:space="preserve">Kualitas Profil dan Peta Risiko (Formulir 2) — pemisahan kejadian vs penyebab, ketepatan kategori, besaran risiko;</w:t>
      </w:r>
    </w:p>
    <w:p>
      <w:pPr>
        <w:pStyle w:val="ListParagraph"/>
        <w:numPr>
          <w:ilvl w:val="0"/>
          <w:numId w:val="2"/>
        </w:numPr>
        <w:spacing w:after="80"/>
      </w:pPr>
      <w:r>
        <w:t xml:space="preserve">Kelayakan Penanganan Risiko (Formulir 3) — rencana aksi untuk risiko sedang–sangat tinggi, rencana kontinjensi;</w:t>
      </w:r>
    </w:p>
    <w:p>
      <w:pPr>
        <w:pStyle w:val="ListParagraph"/>
        <w:numPr>
          <w:ilvl w:val="0"/>
          <w:numId w:val="2"/>
        </w:numPr>
        <w:spacing w:after="80"/>
      </w:pPr>
      <w:r>
        <w:t xml:space="preserve">Pemantauan dan Pelaporan (Formulir 4 triwulanan dan Formulir 5 tahunan) serta pemutakhiran Loss Event Database;</w:t>
      </w:r>
    </w:p>
    <w:p>
      <w:pPr>
        <w:pStyle w:val="ListParagraph"/>
        <w:numPr>
          <w:ilvl w:val="0"/>
          <w:numId w:val="2"/>
        </w:numPr>
        <w:spacing w:after="80"/>
      </w:pPr>
      <w:r>
        <w:t xml:space="preserve">Tingkat Kematangan Penerapan Manajemen Risiko (TKPMR) berdasarkan 4 parameter.</w:t>
      </w:r>
    </w:p>
    <w:p>
      <w:r>
        <w:t xml:space="preserve"/>
      </w:r>
    </w:p>
    <w:p>
      <w:pPr>
        <w:pStyle w:val="Heading2"/>
        <w:jc w:val="left"/>
      </w:pPr>
      <w:r>
        <w:rPr>
          <w:b/>
          <w:bCs/>
        </w:rPr>
        <w:t xml:space="preserve">E. RUANG LINGKUP PENGAWASAN</w:t>
      </w:r>
    </w:p>
    <w:p>
      <w:pPr>
        <w:spacing w:after="120"/>
        <w:jc w:val="both"/>
      </w:pPr>
      <w:r>
        <w:rPr>
          <w:b w:val="false"/>
          <w:bCs w:val="false"/>
          <w:i w:val="false"/>
          <w:iCs w:val="false"/>
        </w:rPr>
        <w:t xml:space="preserve">Evaluasi dilaksanakan terhadap penyelenggaraan Manajemen Risiko pada {{OBJEK}} untuk periode Tahun {{TAHUN}}-1 dan Tahun {{TAHUN}} berjalan. Evaluasi dilakukan secara uji petik atas dokumen MR dan tidak memeriksa setiap baris register risiko secara mendalam.</w:t>
      </w:r>
    </w:p>
    <w:p>
      <w:r>
        <w:t xml:space="preserve"/>
      </w:r>
    </w:p>
    <w:p>
      <w:pPr>
        <w:pStyle w:val="Heading2"/>
        <w:jc w:val="left"/>
      </w:pPr>
      <w:r>
        <w:rPr>
          <w:b/>
          <w:bCs/>
        </w:rPr>
        <w:t xml:space="preserve">F. METODOLOGI</w:t>
      </w:r>
    </w:p>
    <w:p>
      <w:pPr>
        <w:spacing w:after="120"/>
        <w:jc w:val="both"/>
      </w:pPr>
      <w:r>
        <w:rPr>
          <w:b w:val="false"/>
          <w:bCs w:val="false"/>
          <w:i w:val="false"/>
          <w:iCs w:val="false"/>
        </w:rPr>
        <w:t xml:space="preserve">Evaluasi dilakukan dengan menelaah dokumen MR (Piagam MR, Formulir 1–5, LED) dipadukan dengan diskusi kepada Pemilik Risiko, Koordinator Risiko, dan Admin Risiko. Pendekatan yang digunakan adalah uji kesesuaian terhadap aspek wajib Pedoman Menkomdigi 6/2017, dengan temuan disajikan dalam format KKSA (Kondisi–Kriteria–Sebab–Akibat).</w:t>
      </w:r>
    </w:p>
    <w:p>
      <w:r>
        <w:t xml:space="preserve"/>
      </w:r>
    </w:p>
    <w:p>
      <w:pPr>
        <w:pStyle w:val="Heading2"/>
        <w:jc w:val="left"/>
      </w:pPr>
      <w:r>
        <w:rPr>
          <w:b/>
          <w:bCs/>
        </w:rPr>
        <w:t xml:space="preserve">G. OUTPUT YANG DIHARAPKAN</w:t>
      </w:r>
    </w:p>
    <w:p>
      <w:pPr>
        <w:pStyle w:val="ListParagraph"/>
        <w:numPr>
          <w:ilvl w:val="0"/>
          <w:numId w:val="2"/>
        </w:numPr>
        <w:spacing w:after="80"/>
      </w:pPr>
      <w:r>
        <w:t xml:space="preserve">Kertas Kerja Pengawasan yang memuat catatan evaluasi per aspek dalam format KKSA;</w:t>
      </w:r>
    </w:p>
    <w:p>
      <w:pPr>
        <w:pStyle w:val="ListParagraph"/>
        <w:numPr>
          <w:ilvl w:val="0"/>
          <w:numId w:val="2"/>
        </w:numPr>
        <w:spacing w:after="80"/>
      </w:pPr>
      <w:r>
        <w:t xml:space="preserve">Laporan Hasil Evaluasi (LHE) Manajemen Risiko dengan struktur: Gambaran Umum → Hasil Evaluasi → Rekomendasi terpisah → Apresiasi;</w:t>
      </w:r>
    </w:p>
    <w:p>
      <w:pPr>
        <w:pStyle w:val="ListParagraph"/>
        <w:numPr>
          <w:ilvl w:val="0"/>
          <w:numId w:val="2"/>
        </w:numPr>
        <w:spacing w:after="80"/>
      </w:pPr>
      <w:r>
        <w:t xml:space="preserve">Nota Dinas Pengantar LHE kepada Sekretaris Jenderal.</w:t>
      </w:r>
    </w:p>
    <w:p>
      <w:r>
        <w:t xml:space="preserve"/>
      </w:r>
    </w:p>
    <w:p>
      <w:pPr>
        <w:pStyle w:val="Heading2"/>
        <w:jc w:val="left"/>
      </w:pPr>
      <w:r>
        <w:rPr>
          <w:b/>
          <w:bCs/>
        </w:rPr>
        <w:t xml:space="preserve">H. SUSUNAN TIM PENGAWASAN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400"/>
        <w:gridCol w:w="1800"/>
        <w:gridCol w:w="14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Nama</w:t>
            </w:r>
          </w:p>
        </w:tc>
        <w:tc>
          <w:tcPr>
            <w:tcW w:type="dxa" w:w="2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NIP</w:t>
            </w:r>
          </w:p>
        </w:tc>
        <w:tc>
          <w:tcPr>
            <w:tcW w:type="dxa" w:w="1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Jabatan dalam Tim</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Jabatan Fungsional</w:t>
            </w:r>
          </w:p>
        </w:tc>
      </w:tr>
      <w:t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{{PM_NAMA}}</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{{PM_NIP}}</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Pengendali Mutu</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{{PM_JABFUNG}}</w:t>
            </w:r>
          </w:p>
        </w:tc>
      </w:tr>
      <w:t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{{PT_NAMA}}</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{{PT_NIP}}</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Pengendali Teknis</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{{PT_JABFUNG}}</w:t>
            </w:r>
          </w:p>
        </w:tc>
      </w:tr>
      <w:t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{{KT_NAMA}}</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{{KT_NIP}}</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Ketua Tim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{{KT_JABFUNG}}</w:t>
            </w:r>
          </w:p>
        </w:tc>
      </w:tr>
      <w:t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{{AT1_NAMA}}</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{{AT1_NIP}}</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Anggota Tim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{{AT1_JABFUNG}}</w:t>
            </w:r>
          </w:p>
        </w:tc>
      </w:tr>
      <w:t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5</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{{AT2_NAMA}}</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{{AT2_NIP}}</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Anggota Tim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{{AT2_JABFUNG}}</w:t>
            </w:r>
          </w:p>
        </w:tc>
      </w:tr>
    </w:tbl>
    <w:p>
      <w:r>
        <w:t xml:space="preserve"/>
      </w:r>
    </w:p>
    <w:p>
      <w:pPr>
        <w:pStyle w:val="Heading2"/>
        <w:jc w:val="left"/>
      </w:pPr>
      <w:r>
        <w:rPr>
          <w:b/>
          <w:bCs/>
        </w:rPr>
        <w:t xml:space="preserve">I. CATATAN PENUGASAN</w:t>
      </w:r>
    </w:p>
    <w:p>
      <w:pPr>
        <w:spacing w:after="120"/>
        <w:jc w:val="left"/>
      </w:pPr>
      <w:r>
        <w:rPr>
          <w:b w:val="false"/>
          <w:bCs w:val="false"/>
          <w:i/>
          <w:iCs/>
        </w:rPr>
        <w:t xml:space="preserve">{{CATATAN_PENUGASAN}}</w:t>
      </w:r>
    </w:p>
    <w:p>
      <w:pPr>
        <w:spacing w:after="120" w:before="240"/>
      </w:pPr>
      <w:r>
        <w:t xml:space="preserve">Jakarta, {{TGL_ST}}</w:t>
      </w:r>
    </w:p>
    <w:p>
      <w:pPr>
        <w:spacing w:after="60"/>
      </w:pPr>
      <w:r>
        <w:t xml:space="preserve">Inspektur II,</w:t>
      </w:r>
    </w:p>
    <w:p>
      <w:pPr>
        <w:spacing w:after="0" w:before="720"/>
      </w:pPr>
      <w:r>
        <w:rPr>
          <w:b/>
          <w:bCs/>
          <w:u w:val="single"/>
        </w:rPr>
        <w:t xml:space="preserve">{{INSPEKTUR_NAMA}}</w:t>
      </w:r>
    </w:p>
    <w:p>
      <w:r>
        <w:t xml:space="preserve">NIP. {{INSPEKTUR_NIP}}</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2026-04-16T13:36:45.796Z</dcterms:created>
  <dcterms:modified xsi:type="dcterms:W3CDTF">2026-04-16T13:36:45.796Z</dcterms:modified>
</cp:coreProperties>
</file>

<file path=docProps/custom.xml><?xml version="1.0" encoding="utf-8"?>
<Properties xmlns="http://schemas.openxmlformats.org/officeDocument/2006/custom-properties" xmlns:vt="http://schemas.openxmlformats.org/officeDocument/2006/docPropsVTypes"/>
</file>