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KEMENTERIAN KOMUNIKASI DAN DIGITAL REPUBLIK INDONESIA</w:t>
      </w:r>
    </w:p>
    <w:p>
      <w:pPr>
        <w:jc w:val="center"/>
      </w:pPr>
      <w:r>
        <w:rPr>
          <w:b/>
          <w:bCs/>
          <w:sz w:val="22"/>
          <w:szCs w:val="22"/>
        </w:rPr>
        <w:t xml:space="preserve">INSPEKTORAT JENDERAL — INSPEKTORAT II</w:t>
      </w:r>
    </w:p>
    <w:p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KARTU PENUGASAN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EVALUASI INTERNAL REFORMASI BIROKRASI</w:t>
      </w:r>
    </w:p>
    <w:p>
      <w:pPr>
        <w:pStyle w:val="Heading2"/>
        <w:jc w:val="left"/>
      </w:pPr>
      <w:r>
        <w:rPr>
          <w:b/>
          <w:bCs/>
        </w:rPr>
        <w:t xml:space="preserve">A. IDENTITAS PENUGASAN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Nomor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{{NOMOR_ST}}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Jenis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Evaluasi Internal Reformasi Birokrasi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Kode Nomor Surat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PW.04.03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Objek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{{OBJEK}}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Tahun Anggaran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{{TAHUN}}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Periode Pelaksanaan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{{TGL_MULAI}} s.d.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Jangka Waktu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{{JUMLAH_HARI}} hari kerja, terhitung sejak tanggal {{TGL_MULAI}} sampai dengan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Risiko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{{TINGKAT_RISIKO}}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Keyakinan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Terbatas (evaluatif, konstruktif)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B. DASAR HUKUM PENUGASAN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Menteri PANRB Nomor 9 Tahun 2023 tentang Evaluasi Reformasi Birokrasi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Keputusan Menteri PANRB Nomor 182 Tahun 2024 tentang Juknis Evaluasi Reformasi Birokrasi Tahun 2024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Surat Edaran Menteri PANRB Nomor 6 Tahun 2025 tentang Pelaksanaan Reformasi Birokrasi pada Periode Transisi Tahun 2025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Kerja Pengawasan Tahunan (PKPT) Inspektorat Jenderal Komdigi Tahun {{TAHUN}}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C. TUJUAN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Melaksanakan evaluasi internal atas pelaksanaan Reformasi Birokrasi [Ex-Ante / On-Going Triwulan {{TRIWULAN}}] di {{OBJEK}} Tahun {{TAHUN}}, untuk memastikan Rencana Aksi RB berkualitas baik, layak sebagai pedoman pelaksanaan, serta terselenggara sesuai target.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D. SASARAN PENGAWASAN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Sasaran pengawasan ini meliputi pemeriksaan terhadap: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Ketepatan pelaksanaan komponen Rencana Aksi terhadap maksud kegiatan saat penyusunan Renaksi;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Ketercapaian output sesuai target triwulanan yang ditetapkan dalam Renaksi;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Kualitas pelaksanaan (perencanaan, pelaksanaan, dan pelaporan kegiatan) secara terdokumentasi;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Kesesuaian realisasi waktu terhadap target waktu dalam Renaksi;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Analisis dampak RB Tematik terhadap tujuan tema (kemiskinan, investasi, digitalisasi, dst.).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E. RUANG LINGKUP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Evaluasi Internal RB dilaksanakan terhadap pelaksanaan Rencana Aksi RB pada {{OBJEK}} untuk [Periode Ex-Ante / Triwulan {{TRIWULAN}}] Tahun {{TAHUN}}. Evaluasi mencakup komponen RB General (jika ada) dan RB Tematik sesuai tema yang berlaku pada unit kerja.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F. METODOLOGI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Evaluasi dilakukan dengan mempelajari dan menelaah dokumen Rencana Aksi RB, bukti pelaksanaan per komponen, Road Map RB, serta laporan capaian triwulan sebelumnya. Pendekatan yang digunakan adalah penilaian 4 dimensi (Ketepatan Pelaksanaan, Ketercapaian Output, Kualitas Pelaksanaan, Kesesuaian Waktu) dengan skala Sesuai/Tidak Sesuai, dipadukan dengan koordinasi dengan PIC kegiatan.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G. OUTPUT YANG DIHARAPKAN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Lembar Kerja Evaluasi Internal RB terisi (per komponen × 4 dimensi);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Rekapitulasi jumlah Sesuai/Tidak Sesuai serta persentase per dimensi;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Laporan Hasil Evaluasi Internal (LHEI) yang memuat Gambaran Umum RB, Analisis Dampak RB Tematik, Hasil Evaluasi Pelaksanaan, dan Penutup;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Dinas Pengantar LHEI kepada Sekretaris Jenderal.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H. SUSUNAN TIM PENGAWASAN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471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dalam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Fungsional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Mutu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Teknis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Ketua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{{AT2_JABFUNG}}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I. CATATAN PENUGASAN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{{CATATAN_PENUGASAN}}</w:t>
      </w:r>
    </w:p>
    <w:p>
      <w:pPr>
        <w:spacing w:after="120" w:before="240"/>
      </w:pPr>
      <w:r>
        <w:t xml:space="preserve">Jakarta, {{TGL_ST}}</w:t>
      </w:r>
    </w:p>
    <w:p>
      <w:pPr>
        <w:spacing w:after="60"/>
      </w:pPr>
      <w:r>
        <w:t xml:space="preserve">Inspektur II,</w:t>
      </w:r>
    </w:p>
    <w:p>
      <w:pPr>
        <w:spacing w:after="0" w:before="720"/>
      </w:pPr>
      <w:r>
        <w:rPr>
          <w:b/>
          <w:bCs/>
          <w:u w:val="single"/>
        </w:rPr>
        <w:t xml:space="preserve">{{INSPEKTUR_NAMA}}</w:t>
      </w:r>
    </w:p>
    <w:p>
      <w:r>
        <w:t xml:space="preserve">NIP. {{INSPEKTUR_NIP}}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2026-04-16T13:36:45.696Z</dcterms:created>
  <dcterms:modified xsi:type="dcterms:W3CDTF">2026-04-16T13:36:45.696Z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