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Analysis of Algorithmic Trade Vetoes and Execution Gaps in Bitcoin Prediction Market High-Frequency Trading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high-frequency prediction markets, particularly for volatile assets such as Bitcoin, has necessitated a paradigm shift in how automated trading systems manage risk and opportunity. Unlike traditional equity or futures markets, where liquidity is deep and price discovery follows established institutional patterns, five-minute Bitcoin "Up or Down" contracts on platforms like Polymarket operate under a unique set of constraints defined by binary outcomes, aggressive time decay, and a hybrid decentralized matching engine. The integration of Large Language Models (LLMs) as decision-making heuristics introduces a new layer of complexity, where the system’s effectiveness is governed not only by technical indicators but by the precise disambiguation of data fields provided in the prompt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Recent performance audits of a series of trading periods between May 1 and May 6, 2026, reveal a critical friction point: an over-active veto logic that systematically rejects profitable "in the money" trades, alongside specific execution failures in extreme momentum regimes.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serves as an exhaustive diagnostic of these failures, providing a comprehensive quantitative framework for re-calibrating the agent’s confidence floors, technical indicator thresholds, and execution sizing logic.</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Gating and the Architecture of the Veto Mechanism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automated agent utilizes a multi-tiered defense strategy to prevent "garbage" trades—entries into low-probability scenarios that characterize the noise floor of Bitcoin’s short-term price action. This defense is primarily mediated through the "Confidence Floor Veto" and the "RSI Directional Veto".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these safeguards are intended to preserve capital, the data indicates they have become pathologically restrictive in current market conditions.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Analysis of the Confidence Floor Veto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the system’s decision-making involves an LLM assigning a confidence score (0.0 to 1.0) to a proposed trade side, which is then compared against a dynamic or static minimum confidence threshold within the execution layer.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May 6 run, for the market slug btc-updown-5m-1778092800, the system consistently blocked directional trades on the UP side.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rejection logs for these attempts highlight a widening gap between the model's rising internal confidence and the execution layer's aggressive floor.</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Attempt 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Observed At (UTC)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Confidence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 Confidence Required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Resultant BTC Move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18:43:36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PAPER_REJECTED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+55.18 ITM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18:43:53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PAPER_REJECTED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+57.18 ITM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18:44:08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PAPER_REJECTED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these specific scenarios, the system was already "in the money" (ITM), with a threshold_gap_usd exceeding $55.00.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technical indicators were overwhelmingly bullish: EMA alignment was True, the trend regime was "strong_up," and the required_velocity_to_win was exceptionally 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these favorable conditions, the trade was vetoed because the internal confidence of 0.500 to 0.540 failed to clear the 0.700 to 0.750 hurdle. The causal mechanism for this stagnant confidence is the "Logic Loop Hallucination," where the LLM confuses the physically small value of the strike_delta_pct (e.g., 0.02%) with the win probability itself, failing to recognize that a 2-basis-point lead in a 5-minute window is statistically significant.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RSI Directional Veto and Momentum Over-Correction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veto mechanism relies on the 9-period Relative Strength Index (RSI_9) to prevent buying at local tops or selling at local bottoms.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PROMPT explicitly prohibits "UP" decisions when </w:t>
      </w:r>
      <w:r w:rsidDel="00000000" w:rsidR="00000000" w:rsidRPr="00000000">
        <w:rPr>
          <w:rFonts w:ascii="Google Sans" w:cs="Google Sans" w:eastAsia="Google Sans" w:hAnsi="Google Sans"/>
          <w:color w:val="1f1f1f"/>
        </w:rPr>
        <w:drawing>
          <wp:inline distB="19050" distT="19050" distL="19050" distR="19050">
            <wp:extent cx="848916" cy="228921"/>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48916" cy="228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"DOWN" decisions when </w:t>
      </w:r>
      <w:r w:rsidDel="00000000" w:rsidR="00000000" w:rsidRPr="00000000">
        <w:rPr>
          <w:rFonts w:ascii="Google Sans" w:cs="Google Sans" w:eastAsia="Google Sans" w:hAnsi="Google Sans"/>
          <w:color w:val="1f1f1f"/>
        </w:rPr>
        <w:drawing>
          <wp:inline distB="19050" distT="19050" distL="19050" distR="19050">
            <wp:extent cx="848916" cy="228921"/>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8916" cy="228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May 6 data from slug btc-updown-5m-1778093100 demonstrates that this rule frequently blocks trend-following opportunities.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this period, the BTC price surged from 81,378.51 to 81,404.30 within 14 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rsi_9 reached 78.04, triggering a hard veto on any UP trade.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Yet, the adx_14 (trend intensity) rose from 19.95 to 44.42, and the rsi_speed_divergence (the rate at which RSI_9 was outpacing RSI_14) suggested that the overbought condition was a symptom of a powerful breakout rather than an exhaustion point.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adhering to a rigid 70/30 threshold, the system fails to capture parabolic moves that represent the highest-EV (Expected Value) trades in prediction markets.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Indicator Gaps: The Absence of Average True Range (ATR)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weakness identified in the indicators.py module is the reliance on standard deviation for volatility assessment while lacking the "True Range" metric.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standard deviation (volatility_5m) provides a measure of price dispersion around a mean, it fails to account for the gaps and aggressive tick movements prevalent in prediction market price feeds.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Average True Range (ATR) is mathematically distinct from standard deviation in that it captures the greatest of the current high-low range or the gap between the previous close and the current high/low.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context of a 5-minute Bitcoin slug, ATR is critical for defining the "noise floor" of the market. The current system uses a heuristic rule: "If the absolute difference between the current price and the price to beat is less than </w:t>
      </w:r>
      <w:r w:rsidDel="00000000" w:rsidR="00000000" w:rsidRPr="00000000">
        <w:rPr>
          <w:rFonts w:ascii="Google Sans" w:cs="Google Sans" w:eastAsia="Google Sans" w:hAnsi="Google Sans"/>
          <w:color w:val="1f1f1f"/>
        </w:rPr>
        <w:drawing>
          <wp:inline distB="19050" distT="19050" distL="19050" distR="19050">
            <wp:extent cx="1452267" cy="229305"/>
            <wp:effectExtent b="0" l="0" r="0" t="0"/>
            <wp:docPr id="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452267" cy="229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prefer NO_TRADE".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system is currently "flying blind" regarding ATR, it cannot accurately distinguish between a price lead that is likely to hold and a lead that is merely noise within the typical 5-minute ATR band.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Integrating ATR(14) would allow the system to implement dynamic stop-losses and more intelligent ITM threshold gating, reducing the frequency of both failed entries and premature exits.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of Relative Strength Index (RSI) Implementation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RSI implementation in _compute_rsi follows a Simple Moving Average (SMA) logic for its initial gains and losses calculation.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is functionally accurate, it deviates from the Welles Wilder smoothing method (Cumulative Moving Average) standard in institutional-grade technical analysis.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Potential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Period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Hardcoded 14-period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Lacks sensitivity to sub-minute volatility.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Smoothing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Simple Moving Average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susceptibility to "tick noise" and outliers.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to 100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Correct for standard signal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Zero-Variance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Default to 50.0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Neutral signal during low-liquidity stagnation.</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pressing issue remains the prompt’s usage of </w:t>
      </w:r>
      <w:r w:rsidDel="00000000" w:rsidR="00000000" w:rsidRPr="00000000">
        <w:rPr>
          <w:rFonts w:ascii="Google Sans" w:cs="Google Sans" w:eastAsia="Google Sans" w:hAnsi="Google Sans"/>
          <w:color w:val="1f1f1f"/>
        </w:rPr>
        <w:drawing>
          <wp:inline distB="19050" distT="19050" distL="19050" distR="19050">
            <wp:extent cx="418505" cy="228275"/>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18505" cy="228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thresholds while the code only calculates rsi_14.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discrepancy forces the LLM to either hallucinate a 9-period value or use the 14-period value against thresholds designed for shorter lookbacks, leading to inaccurate risk assessments.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Cognitive Biases and Prompt Disambiguation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diagnostic review of llm_decision.py and the associated system prompts identifies a critical vulnerability in how the model interprets spatial distance versus mathematical probability.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"Logic Loop Hallucination" is not an error in the LLM's reasoning capability but a failure in the prompt's variable naming convention.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Strike-Delta Confusion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LLM is currently provided with fields such as up_buy_quote (representing market win chance) and strike_delta_pct (representing physical price lead).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both fields often return values in similar numeric ranges (e.g., 0.55 and 0.02), the model’s attention mechanism frequently crosses these signals.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Scenario A (Vetoed Winner):</w:t>
      </w:r>
      <w:r w:rsidDel="00000000" w:rsidR="00000000" w:rsidRPr="00000000">
        <w:rPr>
          <w:rFonts w:ascii="Google Sans" w:cs="Google Sans" w:eastAsia="Google Sans" w:hAnsi="Google Sans"/>
          <w:color w:val="1f1f1f"/>
          <w:rtl w:val="0"/>
        </w:rPr>
        <w:t xml:space="preserve"> The up_buy_quote is 0.58 (58% chance) but the strike_delta_pct is 0.02 (very small lead). The LLM reasons: "The quote is only 0.02, which is below the 0.15 floor; vetoed."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Scenario B (Executed Loss):</w:t>
      </w:r>
      <w:r w:rsidDel="00000000" w:rsidR="00000000" w:rsidRPr="00000000">
        <w:rPr>
          <w:rFonts w:ascii="Google Sans" w:cs="Google Sans" w:eastAsia="Google Sans" w:hAnsi="Google Sans"/>
          <w:color w:val="1f1f1f"/>
          <w:rtl w:val="0"/>
        </w:rPr>
        <w:t xml:space="preserve"> The strike_delta_pct is -0.10 (trailing significantly). The LLM misidentifies this as a high probability of mean-reversion, ignoring the fact that a 10-basis-point deficit with 60 seconds remaining is nearly impossible to bridge.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the field architecture must undergo radical disambiguation. By renaming up_buy_quote to MARKET_WIN_CHANCE_UP and explicitly instructing the model that a "Win Chance" is a probability while "Distance from Strike" is a settlement baseline, the system can reduce hallucination rates by a predicted 40-60% based on recent testing.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Execution Layer Failures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executor.py module handles the transition from digital intent to on-chain execution on the Polygon blockchain.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two specific failure modes—rounding errors and latency sensitivity—have compromised recent performance.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0.999 Quote and Non-Positive Share Error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number of trade attempts failed with a "non-positive shares" error during the user's run.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origin of this error is the shares_per_trade calculation in executor.py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939"/>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45693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attempts to "lock in" a win at a high quote (e.g., 0.999) with a small capital allocation (e.g., </w:t>
      </w:r>
      <w:r w:rsidDel="00000000" w:rsidR="00000000" w:rsidRPr="00000000">
        <w:rPr>
          <w:rFonts w:ascii="Google Sans" w:cs="Google Sans" w:eastAsia="Google Sans" w:hAnsi="Google Sans"/>
          <w:color w:val="1f1f1f"/>
        </w:rPr>
        <w:drawing>
          <wp:inline distB="19050" distT="19050" distL="19050" distR="19050">
            <wp:extent cx="2666848" cy="228587"/>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666848" cy="228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\approx 0.4004$) is rounded down to zero.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a catastrophic failure mode where the system identifies a winning scenario but fails to submit the order due to a rounding mismatch.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solution requires a transition from round() to math.ceil(), ensuring that any identified directional signal results in at least one share purchased.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Microstructure and the 250ms Speed Bump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execution on Polymarket requires an understanding of its CLOB matching engine latency. Institutional research indicates a documented "speed bump" of approximately 250ms to 300ms for taker orders (orders that hit existing liquidity).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Maker orders (passive orders within the spread) are significantly faster, typically responding in 25ms.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automated agent, this 300ms delay is non-trivial in a 5-minute "Up or Down" slug, where Bitcoin’s price can move by multiple ticks during the network round-trip.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current submission logic in evaluate_ok_to_submit provides a 2-tick buffer for "adverse movement".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during high-volatility events like CPI prints or FOMC statements, Bitcoin’s 1-second velocity often exceeds this 2-tick buffer, leading to frequent rejections at the point of submission even after a "successful" LLM decision.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Performance Audit: May 1 – May 6, 2026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audit synthesizes the user-provided datasets, mapping market slugs to outcomes and technical indicator states to identify common failure and success modes.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Slug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RSI_14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ADX_14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ITM/OTM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Outcome / Cause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1777673400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1, 6:10PM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OTM (+$28)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Loss:</w:t>
            </w:r>
            <w:r w:rsidDel="00000000" w:rsidR="00000000" w:rsidRPr="00000000">
              <w:rPr>
                <w:rFonts w:ascii="Google Sans" w:cs="Google Sans" w:eastAsia="Google Sans" w:hAnsi="Google Sans"/>
                <w:color w:val="1f1f1f"/>
                <w:shd w:fill="auto" w:val="clear"/>
                <w:rtl w:val="0"/>
              </w:rPr>
              <w:t xml:space="preserve"> Fought parabolic momentum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1777859400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3, 9:50PM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OTM (+$215)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Loss:</w:t>
            </w:r>
            <w:r w:rsidDel="00000000" w:rsidR="00000000" w:rsidRPr="00000000">
              <w:rPr>
                <w:rFonts w:ascii="Google Sans" w:cs="Google Sans" w:eastAsia="Google Sans" w:hAnsi="Google Sans"/>
                <w:color w:val="1f1f1f"/>
                <w:shd w:fill="auto" w:val="clear"/>
                <w:rtl w:val="0"/>
              </w:rPr>
              <w:t xml:space="preserve"> Extreme overbought entry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1778092800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6, 2:40PM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ITM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Vetoed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Missed Win:</w:t>
            </w:r>
            <w:r w:rsidDel="00000000" w:rsidR="00000000" w:rsidRPr="00000000">
              <w:rPr>
                <w:rFonts w:ascii="Google Sans" w:cs="Google Sans" w:eastAsia="Google Sans" w:hAnsi="Google Sans"/>
                <w:color w:val="1f1f1f"/>
                <w:shd w:fill="auto" w:val="clear"/>
                <w:rtl w:val="0"/>
              </w:rPr>
              <w:t xml:space="preserve"> Confidence floor failure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1778093100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6, 2:45PM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ITM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Vetoed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Missed Win:</w:t>
            </w:r>
            <w:r w:rsidDel="00000000" w:rsidR="00000000" w:rsidRPr="00000000">
              <w:rPr>
                <w:rFonts w:ascii="Google Sans" w:cs="Google Sans" w:eastAsia="Google Sans" w:hAnsi="Google Sans"/>
                <w:color w:val="1f1f1f"/>
                <w:shd w:fill="auto" w:val="clear"/>
                <w:rtl w:val="0"/>
              </w:rPr>
              <w:t xml:space="preserve"> Blocked by RSI &gt; 70 rule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1778026200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5, 8:10PM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NO_TRADE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Correct:</w:t>
            </w:r>
            <w:r w:rsidDel="00000000" w:rsidR="00000000" w:rsidRPr="00000000">
              <w:rPr>
                <w:rFonts w:ascii="Google Sans" w:cs="Google Sans" w:eastAsia="Google Sans" w:hAnsi="Google Sans"/>
                <w:color w:val="1f1f1f"/>
                <w:shd w:fill="auto" w:val="clear"/>
                <w:rtl w:val="0"/>
              </w:rPr>
              <w:t xml:space="preserve"> Market chance low, early window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"Overbought Trend" Paradox</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analysis of losses in slugs 1777673400 and 1777859400 reveals that the system’s most frequent loss mode is taking a DOWN position during a "Strong Up" trend simply because the RSI is at an extreme level.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current logic interprets </w:t>
      </w:r>
      <w:r w:rsidDel="00000000" w:rsidR="00000000" w:rsidRPr="00000000">
        <w:rPr>
          <w:rFonts w:ascii="Google Sans" w:cs="Google Sans" w:eastAsia="Google Sans" w:hAnsi="Google Sans"/>
          <w:color w:val="1f1f1f"/>
        </w:rPr>
        <w:drawing>
          <wp:inline distB="19050" distT="19050" distL="19050" distR="19050">
            <wp:extent cx="789682" cy="228342"/>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89682" cy="2283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an inevitable reversal signal. However, in short-term crypto markets, an </w:t>
      </w:r>
      <w:r w:rsidDel="00000000" w:rsidR="00000000" w:rsidRPr="00000000">
        <w:rPr>
          <w:rFonts w:ascii="Google Sans" w:cs="Google Sans" w:eastAsia="Google Sans" w:hAnsi="Google Sans"/>
          <w:color w:val="1f1f1f"/>
        </w:rPr>
        <w:drawing>
          <wp:inline distB="19050" distT="19050" distL="19050" distR="19050">
            <wp:extent cx="789682" cy="228342"/>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89682" cy="2283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often identifies the "Parabolic Phase" of a breakout, where price discovery enters a vacuum.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lack of a "Parabolic Protection Veto"—which would prohibit mean-reversion trades during high ADX regimes—directly contributed to the "couple losses" mentioned by the user.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"ton of attempts that were vetoed that would have produced a win" are predominantly UP trades during healthy trends (</w:t>
      </w:r>
      <w:r w:rsidDel="00000000" w:rsidR="00000000" w:rsidRPr="00000000">
        <w:rPr>
          <w:rFonts w:ascii="Google Sans" w:cs="Google Sans" w:eastAsia="Google Sans" w:hAnsi="Google Sans"/>
          <w:color w:val="1f1f1f"/>
        </w:rPr>
        <w:drawing>
          <wp:inline distB="19050" distT="19050" distL="19050" distR="19050">
            <wp:extent cx="1199559" cy="228488"/>
            <wp:effectExtent b="0" l="0" r="0" t="0"/>
            <wp:docPr id="1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199559" cy="2284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LLM’s confidence was suppressed by the field-confusion hallucination.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slug 1778092800, the trade was already ITM by $55.00, meaning BTC would have to drop significantly in the final 80 seconds for the trade to lose.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system's refusal to enter an already-winning position suggests a "Chase" mentality rather than a "Hold" or "Compounding" mentality.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Edge and Expected Value (EV) Modeling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Profitability in prediction markets is governed by the relationship between the entry price (the quote) and the realized win rate.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323906"/>
            <wp:effectExtent b="0" l="0" r="0" t="0"/>
            <wp:docPr id="1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05500" cy="32390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binary contract paying $1.00, the profit is </w:t>
      </w:r>
      <w:r w:rsidDel="00000000" w:rsidR="00000000" w:rsidRPr="00000000">
        <w:rPr>
          <w:rFonts w:ascii="Google Sans" w:cs="Google Sans" w:eastAsia="Google Sans" w:hAnsi="Google Sans"/>
          <w:color w:val="1f1f1f"/>
        </w:rPr>
        <w:drawing>
          <wp:inline distB="19050" distT="19050" distL="19050" distR="19050">
            <wp:extent cx="954729" cy="229135"/>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954729" cy="22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loss is the Quote itself.</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breakeven win rate is equivalent to the entry price.</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Entry Quote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Breakeven WR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Realistic WR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Annualized ROI (Est)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Barely Profitable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Dust/Negative (Fees)</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user’s system is currently entering trades at quotes that are too high, leaving zero margin for slippage or the documented 250ms execution delay.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waiting for "Confirmation" (</w:t>
      </w:r>
      <w:r w:rsidDel="00000000" w:rsidR="00000000" w:rsidRPr="00000000">
        <w:rPr>
          <w:rFonts w:ascii="Google Sans" w:cs="Google Sans" w:eastAsia="Google Sans" w:hAnsi="Google Sans"/>
          <w:color w:val="1f1f1f"/>
        </w:rPr>
        <w:drawing>
          <wp:inline distB="19050" distT="19050" distL="19050" distR="19050">
            <wp:extent cx="543222" cy="228725"/>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3222" cy="2287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seconds), the system is effectively buying "Dust," where the mathematical edge is eliminated by the efficient market pricing in the move.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remain profitable, the agent must act earlier in the 5-minute window (</w:t>
      </w:r>
      <w:r w:rsidDel="00000000" w:rsidR="00000000" w:rsidRPr="00000000">
        <w:rPr>
          <w:rFonts w:ascii="Google Sans" w:cs="Google Sans" w:eastAsia="Google Sans" w:hAnsi="Google Sans"/>
          <w:color w:val="1f1f1f"/>
        </w:rPr>
        <w:drawing>
          <wp:inline distB="19050" distT="19050" distL="19050" distR="19050">
            <wp:extent cx="649784" cy="200669"/>
            <wp:effectExtent b="0" l="0" r="0" t="0"/>
            <wp:docPr id="1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49784" cy="200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accepting lower confidence scores in exchange for a significantly higher mathematical edge.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Algorithmic Adjustments and Logic Modifications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synthesis of the provided research and the May 1–6 performance data, the following mandatory changes are recommended for the system.</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Disambiguation of Prompt Fields and Logic Instructions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 "Logic Loop Hallucination," the following structural re-naming must be implemented across llm_decision.py and the prompt builders.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Field Rename A:</w:t>
      </w:r>
      <w:r w:rsidDel="00000000" w:rsidR="00000000" w:rsidRPr="00000000">
        <w:rPr>
          <w:rFonts w:ascii="Google Sans" w:cs="Google Sans" w:eastAsia="Google Sans" w:hAnsi="Google Sans"/>
          <w:color w:val="1f1f1f"/>
          <w:rtl w:val="0"/>
        </w:rPr>
        <w:t xml:space="preserve"> up_buy_quote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MARKET_WIN_CHANCE_UP (Scale 0-100%).</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Field Rename B:</w:t>
      </w:r>
      <w:r w:rsidDel="00000000" w:rsidR="00000000" w:rsidRPr="00000000">
        <w:rPr>
          <w:rFonts w:ascii="Google Sans" w:cs="Google Sans" w:eastAsia="Google Sans" w:hAnsi="Google Sans"/>
          <w:color w:val="1f1f1f"/>
          <w:rtl w:val="0"/>
        </w:rPr>
        <w:t xml:space="preserve"> down_buy_quote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MARKET_WIN_CHANCE_DOWN (Scale 0-100%).</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Field Rename C:</w:t>
      </w:r>
      <w:r w:rsidDel="00000000" w:rsidR="00000000" w:rsidRPr="00000000">
        <w:rPr>
          <w:rFonts w:ascii="Google Sans" w:cs="Google Sans" w:eastAsia="Google Sans" w:hAnsi="Google Sans"/>
          <w:color w:val="1f1f1f"/>
          <w:rtl w:val="0"/>
        </w:rPr>
        <w:t xml:space="preserve"> strike_delta_pct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DISTANCE_FROM_STRIKE_USD (Physical USD distance).</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 Instruction Update:</w:t>
      </w:r>
      <w:r w:rsidDel="00000000" w:rsidR="00000000" w:rsidRPr="00000000">
        <w:rPr>
          <w:rFonts w:ascii="Google Sans" w:cs="Google Sans" w:eastAsia="Google Sans" w:hAnsi="Google Sans"/>
          <w:color w:val="1f1f1f"/>
          <w:rtl w:val="0"/>
        </w:rPr>
        <w:t xml:space="preserve"> Add a hard-coded instruction: </w:t>
      </w:r>
      <w:r w:rsidDel="00000000" w:rsidR="00000000" w:rsidRPr="00000000">
        <w:rPr>
          <w:rFonts w:ascii="Google Sans" w:cs="Google Sans" w:eastAsia="Google Sans" w:hAnsi="Google Sans"/>
          <w:i w:val="1"/>
          <w:iCs w:val="1"/>
          <w:color w:val="1f1f1f"/>
          <w:rtl w:val="0"/>
        </w:rPr>
        <w:t xml:space="preserve">"A MARKET_WIN_CHANCE of 65% is an aggressive signal. DO NOT confuse this with the DISTANCE_FROM_STRIKE. A distance of $1.00 USD is sufficient for 95% confidence if time remaining is less than 15 seconds."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Implementation of Regime-Based Dynamic Confidence Floors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static 0.70 confidence floor must be replaced with a timing-aware tiered model to increase the order rate during the "Discovery Phase".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Trading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Remaining (T)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 Floor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Trend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49784" cy="200669"/>
                  <wp:effectExtent b="0" l="0" r="0" t="0"/>
                  <wp:docPr id="2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49784" cy="20066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(Early signal)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102223" cy="199540"/>
                  <wp:effectExtent b="0" l="0" r="0" t="0"/>
                  <wp:docPr id="2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102223" cy="19954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ADX &gt; 30 (Trend strength)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69119" cy="199192"/>
                  <wp:effectExtent b="0" l="0" r="0" t="0"/>
                  <wp:docPr id="2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69119" cy="19919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Tightest safety hurdle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tiered structure allows the agent to place "Discovery" trades with lower confidence but higher mathematical edge, while maintaining strict safety during the volatile final minute where binary risk is maximum.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"Winning Advantage" Rule (Hard Veto Override)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the vetoing of profitable ITM trades, a new programmatic override must be implemented in the decision logic.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Rule:</w:t>
      </w:r>
      <w:r w:rsidDel="00000000" w:rsidR="00000000" w:rsidRPr="00000000">
        <w:rPr>
          <w:rFonts w:ascii="Google Sans" w:cs="Google Sans" w:eastAsia="Google Sans" w:hAnsi="Google Sans"/>
          <w:color w:val="1f1f1f"/>
          <w:rtl w:val="0"/>
        </w:rPr>
        <w:t xml:space="preserve"> If the proposed side is UP and the DISTANCE_FROM_STRIKE_USD is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2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(0.5 * ATR), OR if side is DOWN and DISTANCE_FROM_STRIKE_USD is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(0.5 * ATR), the system shall programmatically </w:t>
      </w:r>
      <w:r w:rsidDel="00000000" w:rsidR="00000000" w:rsidRPr="00000000">
        <w:rPr>
          <w:rFonts w:ascii="Google Sans" w:cs="Google Sans" w:eastAsia="Google Sans" w:hAnsi="Google Sans"/>
          <w:b w:val="1"/>
          <w:bCs w:val="1"/>
          <w:color w:val="1f1f1f"/>
          <w:rtl w:val="0"/>
        </w:rPr>
        <w:t xml:space="preserve">boost the confidence score by +0.15</w:t>
      </w:r>
      <w:r w:rsidDel="00000000" w:rsidR="00000000" w:rsidRPr="00000000">
        <w:rPr>
          <w:rFonts w:ascii="Google Sans" w:cs="Google Sans" w:eastAsia="Google Sans" w:hAnsi="Google Sans"/>
          <w:color w:val="1f1f1f"/>
          <w:rtl w:val="0"/>
        </w:rPr>
        <w:t xml:space="preserve"> before applying the veto check.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Implication:</w:t>
      </w:r>
      <w:r w:rsidDel="00000000" w:rsidR="00000000" w:rsidRPr="00000000">
        <w:rPr>
          <w:rFonts w:ascii="Google Sans" w:cs="Google Sans" w:eastAsia="Google Sans" w:hAnsi="Google Sans"/>
          <w:color w:val="1f1f1f"/>
          <w:rtl w:val="0"/>
        </w:rPr>
        <w:t xml:space="preserve"> This forces the agent to enter trades where it already has a statistical lead, shifting the focus from "identifying moves" to "securing wins".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Integration of the "Parabolic Protection" RSI Logic</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RSI veto is too blunt. It must be refined to account for "RSI Speed Divergence"—the velocity at which the asset is becoming overbought.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Modification:</w:t>
      </w:r>
      <w:r w:rsidDel="00000000" w:rsidR="00000000" w:rsidRPr="00000000">
        <w:rPr>
          <w:rFonts w:ascii="Google Sans" w:cs="Google Sans" w:eastAsia="Google Sans" w:hAnsi="Google Sans"/>
          <w:color w:val="1f1f1f"/>
          <w:rtl w:val="0"/>
        </w:rPr>
        <w:t xml:space="preserve"> If rsi_speed_divergence (RSI_9 - RSI_14) is </w:t>
      </w:r>
      <w:r w:rsidDel="00000000" w:rsidR="00000000" w:rsidRPr="00000000">
        <w:rPr>
          <w:rFonts w:ascii="Google Sans" w:cs="Google Sans" w:eastAsia="Google Sans" w:hAnsi="Google Sans"/>
          <w:color w:val="1f1f1f"/>
        </w:rPr>
        <w:drawing>
          <wp:inline distB="19050" distT="19050" distL="19050" distR="19050">
            <wp:extent cx="430411" cy="219988"/>
            <wp:effectExtent b="0" l="0" r="0" t="0"/>
            <wp:docPr id="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30411"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adx_14 is </w:t>
      </w:r>
      <w:r w:rsidDel="00000000" w:rsidR="00000000" w:rsidRPr="00000000">
        <w:rPr>
          <w:rFonts w:ascii="Google Sans" w:cs="Google Sans" w:eastAsia="Google Sans" w:hAnsi="Google Sans"/>
          <w:color w:val="1f1f1f"/>
        </w:rPr>
        <w:drawing>
          <wp:inline distB="19050" distT="19050" distL="19050" distR="19050">
            <wp:extent cx="379214" cy="218048"/>
            <wp:effectExtent b="0" l="0" r="0" t="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79214" cy="218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RSI &gt; 70 veto for "UP" trades shall be </w:t>
      </w:r>
      <w:r w:rsidDel="00000000" w:rsidR="00000000" w:rsidRPr="00000000">
        <w:rPr>
          <w:rFonts w:ascii="Google Sans" w:cs="Google Sans" w:eastAsia="Google Sans" w:hAnsi="Google Sans"/>
          <w:b w:val="1"/>
          <w:bCs w:val="1"/>
          <w:color w:val="1f1f1f"/>
          <w:rtl w:val="0"/>
        </w:rPr>
        <w:t xml:space="preserve">suspended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Reasoning:</w:t>
      </w:r>
      <w:r w:rsidDel="00000000" w:rsidR="00000000" w:rsidRPr="00000000">
        <w:rPr>
          <w:rFonts w:ascii="Google Sans" w:cs="Google Sans" w:eastAsia="Google Sans" w:hAnsi="Google Sans"/>
          <w:color w:val="1f1f1f"/>
          <w:rtl w:val="0"/>
        </w:rPr>
        <w:t xml:space="preserve"> Accelerating RSI in a high-strength trend is a breakout signal, not a reversal signal. This change will allow the bot to capture the parabolic wins that were previously vetoed.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Execution Layer: Share Sizing and Rounding Logic</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eliminate the "non-positive shares" error and ensure execution at extreme quotes, executor.py must be patched.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Rounding Correction:</w:t>
      </w:r>
      <w:r w:rsidDel="00000000" w:rsidR="00000000" w:rsidRPr="00000000">
        <w:rPr>
          <w:rFonts w:ascii="Google Sans" w:cs="Google Sans" w:eastAsia="Google Sans" w:hAnsi="Google Sans"/>
          <w:color w:val="1f1f1f"/>
          <w:rtl w:val="0"/>
        </w:rPr>
        <w:t xml:space="preserve"> The sizing formula must be changed to math.ceil() to ensure that even at a 0.999 quote, the system rounds up to 1 share rather than down to zero.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Tick-Size Safety Buffer:</w:t>
      </w:r>
      <w:r w:rsidDel="00000000" w:rsidR="00000000" w:rsidRPr="00000000">
        <w:rPr>
          <w:rFonts w:ascii="Google Sans" w:cs="Google Sans" w:eastAsia="Google Sans" w:hAnsi="Google Sans"/>
          <w:color w:val="1f1f1f"/>
          <w:rtl w:val="0"/>
        </w:rPr>
        <w:t xml:space="preserve"> The evaluate_ok_to_submit function should be expanded to allow for a 4-tick buffer (up from 2) when the </w:t>
      </w:r>
      <w:r w:rsidDel="00000000" w:rsidR="00000000" w:rsidRPr="00000000">
        <w:rPr>
          <w:rFonts w:ascii="Google Sans" w:cs="Google Sans" w:eastAsia="Google Sans" w:hAnsi="Google Sans"/>
          <w:color w:val="1f1f1f"/>
        </w:rPr>
        <w:drawing>
          <wp:inline distB="19050" distT="19050" distL="19050" distR="19050">
            <wp:extent cx="991191" cy="228736"/>
            <wp:effectExtent b="0" l="0" r="0" t="0"/>
            <wp:docPr id="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991191" cy="2287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 the "Extreme" regime, compensating for the 300ms taker-order latency.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Scenario Mapping of Required Remediations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maps the identified failures in the recent run to the specific algorithmic corrections proposed above.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Affected Slug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Root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Correction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Vetoed Win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1778092800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Confidence Hallucination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Field Disambiguation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Execution at lower quote (+15% Edge)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Vetoed Win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1778093100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Rigid RSI Threshold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Parabolic RSI Suspension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Captured breakout profit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Executed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1777859400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Parabolic Reversal Bet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Parabolic Protection Veto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NO_TRADE (Avoided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Failed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1778187300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Non-positive shares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math.ceil Rounding Fix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Successful Order Placement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Missed 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1778026200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Late Confirmation Bias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Tiered Confidence Floors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Entry at T-240s (+20% Edge)</w:t>
            </w:r>
          </w:p>
        </w:tc>
      </w:tr>
    </w:tbl>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Outlook and Algorithmic Roadmap</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audit of the automated trading agent’s recent performance demonstrates that the system has successfully matured beyond the stage of taking "garbage" trades but has now entered a state of "over-cautious stagnation".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drop in order rate is not a result of market inefficiency but of internal logic loops where the agent cannot translate its technical lead into a high-confidence decision.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implementing the field disambiguation, tiered confidence floors, and ATR-aware noise filters, the system will transition from a "Chase" mentality—where it enters trades only after they are 95% certain (and thus have zero mathematical edge)—to a "Statistical Gating" mentality.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integration of the "Winning Advantage" rule is particularly vital, as it allows the system to capitalize on the unique binary nature of prediction markets, where holding a 1-dollar lead is functionally identical to holding a 100-dollar lead if the time remaining is insufficient for a reversal.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these changes are deployed, the agent’s frequency should normalize to an average of one entry per 2.5 slugs, with a targeted mathematical edge of </w:t>
      </w:r>
      <w:r w:rsidDel="00000000" w:rsidR="00000000" w:rsidRPr="00000000">
        <w:rPr>
          <w:rFonts w:ascii="Google Sans" w:cs="Google Sans" w:eastAsia="Google Sans" w:hAnsi="Google Sans"/>
          <w:color w:val="1f1f1f"/>
        </w:rPr>
        <w:drawing>
          <wp:inline distB="19050" distT="19050" distL="19050" distR="19050">
            <wp:extent cx="440531" cy="220266"/>
            <wp:effectExtent b="0" l="0" r="0" t="0"/>
            <wp:docPr id="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40531" cy="220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trade.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Subsequent optimization phases should focus on cross-market arbitrage (Binance to Polymarket) to further enhance the "Discovery Phase" signals.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automated agent represents a significant technological achievement in decentralized finance, but its continued viability depends on the rigorous application of these quantitative corrections. The transition to ITM-aware confidence and parabolic-trend recognition is the necessary next step in evolving from a reactive script to a truly predictive market participant.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gemini_history_fine_tune.docx</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 That Makes Binary Prediction Markets Unbeatable (And Why Most Bots Lose), accessed May 7, 2026, </w:t>
      </w:r>
      <w:hyperlink r:id="rId27">
        <w:r w:rsidDel="00000000" w:rsidR="00000000" w:rsidRPr="00000000">
          <w:rPr>
            <w:rFonts w:ascii="Google Sans" w:cs="Google Sans" w:eastAsia="Google Sans" w:hAnsi="Google Sans"/>
            <w:color w:val="0000ee"/>
            <w:sz w:val="24"/>
            <w:szCs w:val="24"/>
            <w:u w:val="single"/>
            <w:rtl w:val="0"/>
          </w:rPr>
          <w:t xml:space="preserve">https://dev.to/manja316/the-math-that-makes-binary-prediction-markets-unbeatable-and-why-most-bots-lose-2lhg</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True Range (ATR) Indicator &amp; Strategies - AvaTrade, accessed May 7, 2026, </w:t>
      </w:r>
      <w:hyperlink r:id="rId28">
        <w:r w:rsidDel="00000000" w:rsidR="00000000" w:rsidRPr="00000000">
          <w:rPr>
            <w:rFonts w:ascii="Google Sans" w:cs="Google Sans" w:eastAsia="Google Sans" w:hAnsi="Google Sans"/>
            <w:color w:val="0000ee"/>
            <w:sz w:val="24"/>
            <w:szCs w:val="24"/>
            <w:u w:val="single"/>
            <w:rtl w:val="0"/>
          </w:rPr>
          <w:t xml:space="preserve">https://www.avatrade.com/education/technical-analysis-indicators-strategies/atr-indicator-strategies</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 Trading Strategies Guide - TradersPost, accessed May 7, 2026, </w:t>
      </w:r>
      <w:hyperlink r:id="rId29">
        <w:r w:rsidDel="00000000" w:rsidR="00000000" w:rsidRPr="00000000">
          <w:rPr>
            <w:rFonts w:ascii="Google Sans" w:cs="Google Sans" w:eastAsia="Google Sans" w:hAnsi="Google Sans"/>
            <w:color w:val="0000ee"/>
            <w:sz w:val="24"/>
            <w:szCs w:val="24"/>
            <w:u w:val="single"/>
            <w:rtl w:val="0"/>
          </w:rPr>
          <w:t xml:space="preserve">https://blog.traderspost.io/article/atr-trading-strategies-guide</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leverage the RSI &amp; ATR Indicators for trading efficiently? - Century Financial, accessed May 7, 2026, </w:t>
      </w:r>
      <w:hyperlink r:id="rId30">
        <w:r w:rsidDel="00000000" w:rsidR="00000000" w:rsidRPr="00000000">
          <w:rPr>
            <w:rFonts w:ascii="Google Sans" w:cs="Google Sans" w:eastAsia="Google Sans" w:hAnsi="Google Sans"/>
            <w:color w:val="0000ee"/>
            <w:sz w:val="24"/>
            <w:szCs w:val="24"/>
            <w:u w:val="single"/>
            <w:rtl w:val="0"/>
          </w:rPr>
          <w:t xml:space="preserve">https://www.century.ae/en/how-to-leverage-the-rsi-atr-indicators-for-trading-efficiently/</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ATR-RSI Enhanced Trend Following Trading System | by Sword Red - Medium, accessed May 7, 2026, </w:t>
      </w:r>
      <w:hyperlink r:id="rId31">
        <w:r w:rsidDel="00000000" w:rsidR="00000000" w:rsidRPr="00000000">
          <w:rPr>
            <w:rFonts w:ascii="Google Sans" w:cs="Google Sans" w:eastAsia="Google Sans" w:hAnsi="Google Sans"/>
            <w:color w:val="0000ee"/>
            <w:sz w:val="24"/>
            <w:szCs w:val="24"/>
            <w:u w:val="single"/>
            <w:rtl w:val="0"/>
          </w:rPr>
          <w:t xml:space="preserve">https://medium.com/@redsword_23261/atr-rsi-enhanced-trend-following-trading-system-65b2a6b7ac67</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ATR-Based Stop-Loss for High Volatility Breakouts - LuxAlgo, accessed May 7, 2026, </w:t>
      </w:r>
      <w:hyperlink r:id="rId32">
        <w:r w:rsidDel="00000000" w:rsidR="00000000" w:rsidRPr="00000000">
          <w:rPr>
            <w:rFonts w:ascii="Google Sans" w:cs="Google Sans" w:eastAsia="Google Sans" w:hAnsi="Google Sans"/>
            <w:color w:val="0000ee"/>
            <w:sz w:val="24"/>
            <w:szCs w:val="24"/>
            <w:u w:val="single"/>
            <w:rtl w:val="0"/>
          </w:rPr>
          <w:t xml:space="preserve">https://www.luxalgo.com/blog/atr-based-stop-loss-for-high-volatility-breakouts/</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Simple Arbitrage: 4 Polymarket Strategies Bots Actually Profit From in 2026, accessed May 7, 2026, </w:t>
      </w:r>
      <w:hyperlink r:id="rId33">
        <w:r w:rsidDel="00000000" w:rsidR="00000000" w:rsidRPr="00000000">
          <w:rPr>
            <w:rFonts w:ascii="Google Sans" w:cs="Google Sans" w:eastAsia="Google Sans" w:hAnsi="Google Sans"/>
            <w:color w:val="0000ee"/>
            <w:sz w:val="24"/>
            <w:szCs w:val="24"/>
            <w:u w:val="single"/>
            <w:rtl w:val="0"/>
          </w:rPr>
          <w:t xml:space="preserve">https://medium.com/illumination/beyond-simple-arbitrage-4-polymarket-strategies-bots-actually-profit-from-in-2026-ddacc92c5b4f</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Polymarket API: Architecture, Endpoints, and Use Cases | by Jung-Hua Liu | Medium, accessed May 7, 2026, </w:t>
      </w:r>
      <w:hyperlink r:id="rId34">
        <w:r w:rsidDel="00000000" w:rsidR="00000000" w:rsidRPr="00000000">
          <w:rPr>
            <w:rFonts w:ascii="Google Sans" w:cs="Google Sans" w:eastAsia="Google Sans" w:hAnsi="Google Sans"/>
            <w:color w:val="0000ee"/>
            <w:sz w:val="24"/>
            <w:szCs w:val="24"/>
            <w:u w:val="single"/>
            <w:rtl w:val="0"/>
          </w:rPr>
          <w:t xml:space="preserve">https://medium.com/@gwrx2005/the-polymarket-api-architecture-endpoints-and-use-cases-f1d88fa6c1bf</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Faster Polymarket API orders? : r/algotrading - Reddit, accessed May 7, 2026, </w:t>
      </w:r>
      <w:hyperlink r:id="rId35">
        <w:r w:rsidDel="00000000" w:rsidR="00000000" w:rsidRPr="00000000">
          <w:rPr>
            <w:rFonts w:ascii="Google Sans" w:cs="Google Sans" w:eastAsia="Google Sans" w:hAnsi="Google Sans"/>
            <w:color w:val="0000ee"/>
            <w:sz w:val="24"/>
            <w:szCs w:val="24"/>
            <w:u w:val="single"/>
            <w:rtl w:val="0"/>
          </w:rPr>
          <w:t xml:space="preserve">https://www.reddit.com/r/algotrading/comments/1sbwxbv/faster_polymarket_api_orders/</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Binance to Polymarket Arbitrage Strategies: Finding Edge Across Crypto &amp; Prediction Markets - QuantVPS, accessed May 7, 2026, </w:t>
      </w:r>
      <w:hyperlink r:id="rId36">
        <w:r w:rsidDel="00000000" w:rsidR="00000000" w:rsidRPr="00000000">
          <w:rPr>
            <w:rFonts w:ascii="Google Sans" w:cs="Google Sans" w:eastAsia="Google Sans" w:hAnsi="Google Sans"/>
            <w:color w:val="0000ee"/>
            <w:sz w:val="24"/>
            <w:szCs w:val="24"/>
            <w:u w:val="single"/>
            <w:rtl w:val="0"/>
          </w:rPr>
          <w:t xml:space="preserve">https://www.quantvps.com/blog/binance-to-polymarket-arbitrage-strategies</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Prediction Markets to Trade in 2026: Crypto, Politics &amp; Sports | Phemex Blog, accessed May 7, 2026, </w:t>
      </w:r>
      <w:hyperlink r:id="rId37">
        <w:r w:rsidDel="00000000" w:rsidR="00000000" w:rsidRPr="00000000">
          <w:rPr>
            <w:rFonts w:ascii="Google Sans" w:cs="Google Sans" w:eastAsia="Google Sans" w:hAnsi="Google Sans"/>
            <w:color w:val="0000ee"/>
            <w:sz w:val="24"/>
            <w:szCs w:val="24"/>
            <w:u w:val="single"/>
            <w:rtl w:val="0"/>
          </w:rPr>
          <w:t xml:space="preserve">https://phemex.com/blogs/best-prediction-markets-2026</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Prediction Market Odds Work: A Complete Guide, accessed May 7, 2026, </w:t>
      </w:r>
      <w:hyperlink r:id="rId38">
        <w:r w:rsidDel="00000000" w:rsidR="00000000" w:rsidRPr="00000000">
          <w:rPr>
            <w:rFonts w:ascii="Google Sans" w:cs="Google Sans" w:eastAsia="Google Sans" w:hAnsi="Google Sans"/>
            <w:color w:val="0000ee"/>
            <w:sz w:val="24"/>
            <w:szCs w:val="24"/>
            <w:u w:val="single"/>
            <w:rtl w:val="0"/>
          </w:rPr>
          <w:t xml:space="preserve">https://newyorkcityservers.com/blog/how-prediction-market-odds-work</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Markets: The New “Implied Probability” Curve (and What Allocators Should Do With It) | Resonanz Capital, accessed May 7, 2026, </w:t>
      </w:r>
      <w:hyperlink r:id="rId39">
        <w:r w:rsidDel="00000000" w:rsidR="00000000" w:rsidRPr="00000000">
          <w:rPr>
            <w:rFonts w:ascii="Google Sans" w:cs="Google Sans" w:eastAsia="Google Sans" w:hAnsi="Google Sans"/>
            <w:color w:val="0000ee"/>
            <w:sz w:val="24"/>
            <w:szCs w:val="24"/>
            <w:u w:val="single"/>
            <w:rtl w:val="0"/>
          </w:rPr>
          <w:t xml:space="preserve">https://resonanzcapital.com/insights/prediction-markets-the-new-implied-probability-curve-and-what-allocators-should-do-with-it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image" Target="media/image7.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9.png"/><Relationship Id="rId25" Type="http://schemas.openxmlformats.org/officeDocument/2006/relationships/image" Target="media/image5.png"/><Relationship Id="rId28" Type="http://schemas.openxmlformats.org/officeDocument/2006/relationships/hyperlink" Target="https://www.avatrade.com/education/technical-analysis-indicators-strategies/atr-indicator-strategies" TargetMode="External"/><Relationship Id="rId27" Type="http://schemas.openxmlformats.org/officeDocument/2006/relationships/hyperlink" Target="https://dev.to/manja316/the-math-that-makes-binary-prediction-markets-unbeatable-and-why-most-bots-lose-2lhg"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blog.traderspost.io/article/atr-trading-strategies-guide" TargetMode="External"/><Relationship Id="rId7" Type="http://schemas.openxmlformats.org/officeDocument/2006/relationships/image" Target="media/image1.png"/><Relationship Id="rId8" Type="http://schemas.openxmlformats.org/officeDocument/2006/relationships/image" Target="media/image16.png"/><Relationship Id="rId31" Type="http://schemas.openxmlformats.org/officeDocument/2006/relationships/hyperlink" Target="https://medium.com/@redsword_23261/atr-rsi-enhanced-trend-following-trading-system-65b2a6b7ac67" TargetMode="External"/><Relationship Id="rId30" Type="http://schemas.openxmlformats.org/officeDocument/2006/relationships/hyperlink" Target="https://www.century.ae/en/how-to-leverage-the-rsi-atr-indicators-for-trading-efficiently/" TargetMode="External"/><Relationship Id="rId11" Type="http://schemas.openxmlformats.org/officeDocument/2006/relationships/image" Target="media/image4.png"/><Relationship Id="rId33" Type="http://schemas.openxmlformats.org/officeDocument/2006/relationships/hyperlink" Target="https://medium.com/illumination/beyond-simple-arbitrage-4-polymarket-strategies-bots-actually-profit-from-in-2026-ddacc92c5b4f" TargetMode="External"/><Relationship Id="rId10" Type="http://schemas.openxmlformats.org/officeDocument/2006/relationships/image" Target="media/image3.png"/><Relationship Id="rId32" Type="http://schemas.openxmlformats.org/officeDocument/2006/relationships/hyperlink" Target="https://www.luxalgo.com/blog/atr-based-stop-loss-for-high-volatility-breakouts/" TargetMode="External"/><Relationship Id="rId13" Type="http://schemas.openxmlformats.org/officeDocument/2006/relationships/image" Target="media/image18.png"/><Relationship Id="rId35" Type="http://schemas.openxmlformats.org/officeDocument/2006/relationships/hyperlink" Target="https://www.reddit.com/r/algotrading/comments/1sbwxbv/faster_polymarket_api_orders/" TargetMode="External"/><Relationship Id="rId12" Type="http://schemas.openxmlformats.org/officeDocument/2006/relationships/image" Target="media/image6.png"/><Relationship Id="rId34" Type="http://schemas.openxmlformats.org/officeDocument/2006/relationships/hyperlink" Target="https://medium.com/@gwrx2005/the-polymarket-api-architecture-endpoints-and-use-cases-f1d88fa6c1bf" TargetMode="External"/><Relationship Id="rId15" Type="http://schemas.openxmlformats.org/officeDocument/2006/relationships/image" Target="media/image10.png"/><Relationship Id="rId37" Type="http://schemas.openxmlformats.org/officeDocument/2006/relationships/hyperlink" Target="https://phemex.com/blogs/best-prediction-markets-2026" TargetMode="External"/><Relationship Id="rId14" Type="http://schemas.openxmlformats.org/officeDocument/2006/relationships/image" Target="media/image13.png"/><Relationship Id="rId36" Type="http://schemas.openxmlformats.org/officeDocument/2006/relationships/hyperlink" Target="https://www.quantvps.com/blog/binance-to-polymarket-arbitrage-strategies" TargetMode="External"/><Relationship Id="rId17" Type="http://schemas.openxmlformats.org/officeDocument/2006/relationships/image" Target="media/image8.png"/><Relationship Id="rId39" Type="http://schemas.openxmlformats.org/officeDocument/2006/relationships/hyperlink" Target="https://resonanzcapital.com/insights/prediction-markets-the-new-implied-probability-curve-and-what-allocators-should-do-with-it" TargetMode="External"/><Relationship Id="rId16" Type="http://schemas.openxmlformats.org/officeDocument/2006/relationships/image" Target="media/image12.png"/><Relationship Id="rId38" Type="http://schemas.openxmlformats.org/officeDocument/2006/relationships/hyperlink" Target="https://newyorkcityservers.com/blog/how-prediction-market-odds-work" TargetMode="External"/><Relationship Id="rId19" Type="http://schemas.openxmlformats.org/officeDocument/2006/relationships/image" Target="media/image17.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