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 is now effectively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data in your wins_phase1_v2.txt and losses_phase1_v2.txt files shows that your "flight recorder" is now capturing the exact microstructure data needed for high-quality fine-tuning.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Validation of Phase 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logs confirm that the critical data gaps have been closed: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Order Book Visibility: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up_imbalance_pressure and top_level_book_imbalance are now populated with specific numerical values (e.g., 0.489 and -0.022). This is the "leading" data your bot was previously missing.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Math-Awareness: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required_velocity_to_win is correctly calculating the move needed per second (e.g., 1.7347 USD/s). This will allow the LLM to learn when a target is mathematically improbable given current volatility.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Regime Labeling: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rsi_regime is now correctly identifying PARABOLIC_UP and PARABOLIC_DOWN states.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 Explanation: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losses_phase1_v2.txt (Market 1777839300), the file clearly shows the bot entered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position despite the fingerprint explicitly stating rsi_regime: PARABOLIC_UP. This "smoking gun" is exactly what you need for fine-tuning—it shows the model is ignoring its own regime detection.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 Minor Observation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provided logs, consecutive_directional_ticks appears to be staying at 0 even when the price is moving. You may want to double-check the logic that increments this counter; it should track how many ticks in a row the BTC price has moved in the same direction. If it resets too easily (e.g., on a "flat" tick), it may lose its utility for "falling knife" detection.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Moving to Phase 2: Indicator Expansion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the data infrastructure is stable, you can now move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phase moves from "What is happening now?" to "How does this compare to the recent past?".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the LLM with faster-reacting and trend-strength indicators to help it stop betting against strong momentum.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Steps for Phase 2: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Introduce RSI(9):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Alongside the standard RSI(14), add RSI(9). This faster period is better suited for the 300-second duration of Polymarket Bitcoin contracts 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EMA Cross (9/21):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 the 9-period and 21-period Exponential Moving Averages and a boolean for the "cross" direction. This provides a clearer directional bias than just comparing to the window open price 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ADX(14):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your "Trend Strength" filter. Instruct the bot that if $ADX &gt; 25$, it should prioritize momentum over mean-reversion 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ATR(14):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Average True Range will help the LLM normalize price moves. It tells the model if a $10 gap is "noisy" or "significant" 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 All to Files: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these new values appear in your wins and losses text files for every tick.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Updated Data Output Suggestions for Phase 2: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these specific fields to your tick logs and JSON fingerprints: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New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rsi_speed_divergence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difference between RSI(9) and RSI(14). Helps catch "rounding tops" before the price actually drops.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trend_intensity (ADX)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raw number 0-100. Over 30 means "Do not bet against this trend."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ema_alignment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Boolean. True if $Price &gt; EMA(9) &gt; EMA(21)$. This is a high-confidence "UP" environment.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volatility_normalized_gap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$\frac{Gap \text{ to Target}}{ATR(14)}$. Tells the LLM how many "standard moves" are required to win.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 your indicators.py to calculate these four new metrics and confirm they are appearing in your logs without null values. Once that is done, we can move to Phase 3 (Execution Quality).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