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C9FC" w14:textId="77777777">
      <w:r>
        <w:rPr>
          <w:rFonts w:hint="eastAsia"/>
        </w:rPr>
        <w:t>Despite the high popularity enjoyed by Gustav Mahler</w:t>
      </w:r>
      <w:r>
        <w:t>’</w:t>
      </w:r>
      <w:r>
        <w:rPr>
          <w:rFonts w:hint="eastAsia"/>
        </w:rPr>
        <w:t>s symphonies worldwide, there are still high barriers to appreciate for most classical music fans. However, the musical characteristics that make appreciation difficult are precisely the main reasons why Mahler, to whom, music isn</w:t>
      </w:r>
      <w:r>
        <w:t>’</w:t>
      </w:r>
      <w:r>
        <w:rPr>
          <w:rFonts w:hint="eastAsia"/>
        </w:rPr>
        <w:t>t meant to please the listeners, but show them the composer</w:t>
      </w:r>
      <w:r>
        <w:t>’</w:t>
      </w:r>
      <w:r>
        <w:rPr>
          <w:rFonts w:hint="eastAsia"/>
        </w:rPr>
        <w:t>s journey of musical exploration, is globally renowned.</w:t>
      </w:r>
    </w:p>
    <w:p w14:paraId="6F0FB44B" w14:textId="77777777"/>
    <w:p w14:paraId="488482E1" w14:textId="77777777">
      <w:r>
        <w:rPr>
          <w:rFonts w:hint="eastAsia"/>
        </w:rPr>
        <w:t xml:space="preserve">Symphonies by Gustav Mahler tend to be very long in duration, often lasting for two or three hours, significantly exceeding those of his predecessors like Beethoven and Brahms. The extended playing durations create appreciation obstacles for the audience.For example, </w:t>
      </w:r>
      <w:r>
        <w:rPr>
          <w:szCs w:val="21"/>
        </w:rPr>
        <w:t>w</w:t>
      </w:r>
      <w:r>
        <w:rPr>
          <w:rFonts w:eastAsia="Code2000" w:cs="Code2000"/>
          <w:color w:val="000000"/>
          <w:kern w:val="0"/>
          <w:szCs w:val="21"/>
          <w:lang w:bidi="ar"/>
        </w:rPr>
        <w:t>hen the third symphony, a titanic two-and-a-half-hour production, was ended, blank silence was the first</w:t>
      </w:r>
      <w:r>
        <w:rPr>
          <w:rFonts w:eastAsia="Code2000" w:cs="Code2000" w:hint="eastAsia"/>
          <w:color w:val="000000"/>
          <w:kern w:val="0"/>
          <w:szCs w:val="21"/>
          <w:lang w:bidi="ar"/>
        </w:rPr>
        <w:t xml:space="preserve"> </w:t>
      </w:r>
      <w:r>
        <w:rPr>
          <w:rFonts w:eastAsia="Code2000" w:cs="Code2000"/>
          <w:color w:val="000000"/>
          <w:kern w:val="0"/>
          <w:szCs w:val="21"/>
          <w:lang w:bidi="ar"/>
        </w:rPr>
        <w:t>reaction. Frankly, the audience could not analyse its emotion</w:t>
      </w:r>
      <w:r>
        <w:rPr>
          <w:rFonts w:eastAsia="Code2000" w:cs="Code2000" w:hint="eastAsia"/>
          <w:color w:val="000000"/>
          <w:kern w:val="0"/>
          <w:szCs w:val="21"/>
          <w:lang w:bidi="ar"/>
        </w:rPr>
        <w:t>--</w:t>
      </w:r>
      <w:r>
        <w:rPr>
          <w:rFonts w:eastAsia="Code2000" w:cs="Code2000"/>
          <w:color w:val="000000"/>
          <w:kern w:val="0"/>
          <w:szCs w:val="21"/>
          <w:lang w:bidi="ar"/>
        </w:rPr>
        <w:t>and small blame to it. The sheer magnitude</w:t>
      </w:r>
      <w:r>
        <w:rPr>
          <w:rFonts w:eastAsia="Code2000" w:cs="Code2000" w:hint="eastAsia"/>
          <w:color w:val="000000"/>
          <w:kern w:val="0"/>
          <w:szCs w:val="21"/>
          <w:lang w:bidi="ar"/>
        </w:rPr>
        <w:t xml:space="preserve"> stunned.</w:t>
      </w:r>
      <w:r>
        <w:rPr>
          <w:rFonts w:eastAsia="宋体" w:hint="eastAsia"/>
        </w:rPr>
        <w:t xml:space="preserve"> </w:t>
      </w:r>
      <w:r>
        <w:rPr>
          <w:rFonts w:hint="eastAsia"/>
        </w:rPr>
        <w:t>However, no composer sits down deliberately to write such a long symphony for the fun of it or for popularity and frequent performances. The reason why Mahler did this is that, rather than make a short, titillant "sure-fire" piece, as other composers of his time did, he preferred to follow his idea faithfully from one end to the other. He showcased to the listeners his rich and mysterious musical journey through his lengthy symphonies, encompassing the happiness of love, the despair of tragedy, his unique u</w:t>
      </w:r>
      <w:r>
        <w:rPr>
          <w:rFonts w:hint="eastAsia"/>
        </w:rPr>
        <w:t>nderstanding of life and death and so much more.In this way, he was not responsible for anyone but himself. Therefore, the long duration and rich content of the symphonies have made a great contribution to Mahler</w:t>
      </w:r>
      <w:r>
        <w:t>’</w:t>
      </w:r>
      <w:r>
        <w:rPr>
          <w:rFonts w:hint="eastAsia"/>
        </w:rPr>
        <w:t>s renowned fame in the field of composition.</w:t>
      </w:r>
    </w:p>
    <w:p w14:paraId="1E9DBF4B" w14:textId="77777777"/>
    <w:p w14:paraId="24C053A6" w14:textId="77777777">
      <w:r>
        <w:rPr>
          <w:rFonts w:hint="eastAsia"/>
        </w:rPr>
        <w:t>Focusing on the specific parts of music, Mahler paid equal attention to the movements within the symphonies.They are organically organized by the composer, such as changing the orchestration and rhythm, which means that the listeners need extra time to understand Mahler</w:t>
      </w:r>
      <w:r>
        <w:t>’</w:t>
      </w:r>
      <w:r>
        <w:rPr>
          <w:rFonts w:hint="eastAsia"/>
        </w:rPr>
        <w:t>s intention. But the shorter movements are often the epitome of grace and line. To cite a few: The grotesque dead-march in the first symphony; the second and third movements of the second, one an exquisite Landler-like piece and the other a boisterous Viennese scherzo; the flower-movement of the third symphony, and its tense exordium that serves as a finale. For delicacy and refinement some of these movements are unsurpassed in all musical literature. This absolutely gives Mahler illustrious reputation.</w:t>
      </w:r>
    </w:p>
    <w:p w14:paraId="0155D203" w14:textId="77777777"/>
    <w:p w14:paraId="5466743C" w14:textId="77777777">
      <w:r>
        <w:rPr>
          <w:rFonts w:hint="eastAsia"/>
        </w:rPr>
        <w:t>Thus, to Gustav Mahler, music is not meant to pleased the listeners, but show them the composer</w:t>
      </w:r>
      <w:r>
        <w:t>’</w:t>
      </w:r>
      <w:r>
        <w:rPr>
          <w:rFonts w:hint="eastAsia"/>
        </w:rPr>
        <w:t>s journey of musical exploration. And regarding his symphonies, with repeated hearings they will unfold the more easily, and it need not be long before the definite episodes reshape themselves like old friends and the more distended portions throw off a readier emotional glamour. For variety the listener need not fear. That is why Mahler's symphonies are so fascinating. You never know what to expect.</w:t>
      </w:r>
    </w:p>
    <w:p w14:paraId="79861602" w14:textId="77777777"/>
    <w:p w14:paraId="28074BD4" w14:textId="77777777"/>
    <w:p w14:paraId="3AF4DCA8" w14:textId="77777777"/>
    <w:p w14:paraId="5EC1EE4C" w14:textId="77777777"/>
    <w:p w14:paraId="50DFCE92" w14:textId="77777777"/>
    <w:p w14:paraId="3504A5A2" w14:textId="77777777"/>
    <w:p w14:paraId="0E531597" w14:textId="77777777"/>
    <w:p w14:paraId="246FFE40" w14:textId="77777777"/>
    <w:p w14:paraId="7779A028" w14:textId="77777777">
      <w:r>
        <w:rPr>
          <w:rFonts w:hint="eastAsia"/>
        </w:rPr>
        <w:t>引用没写</w:t>
      </w:r>
    </w:p>
    <w:p w14:paraId="1002269B" w14:textId="77777777"/>
    <w:p w14:paraId="3D8FB664" w14:textId="77777777">
      <w:pPr>
        <w:widowControl/>
        <w:jc w:val="left"/>
      </w:pPr>
      <w:r>
        <w:rPr>
          <w:rFonts w:ascii="Code2000" w:eastAsia="Code2000" w:hAnsi="Code2000" w:cs="Code2000"/>
          <w:color w:val="000000"/>
          <w:kern w:val="0"/>
          <w:sz w:val="24"/>
          <w:lang w:bidi="ar"/>
        </w:rPr>
        <w:t xml:space="preserve">Justice for Gustav Mahler </w:t>
      </w:r>
    </w:p>
    <w:p w14:paraId="4D54E901" w14:textId="77777777">
      <w:pPr>
        <w:widowControl/>
        <w:jc w:val="left"/>
      </w:pPr>
      <w:r>
        <w:rPr>
          <w:rFonts w:ascii="Code2000" w:eastAsia="Code2000" w:hAnsi="Code2000" w:cs="Code2000"/>
          <w:color w:val="000000"/>
          <w:kern w:val="0"/>
          <w:sz w:val="24"/>
          <w:lang w:bidi="ar"/>
        </w:rPr>
        <w:t xml:space="preserve">Author(s): Allan Lincoln Langley </w:t>
      </w:r>
    </w:p>
    <w:p w14:paraId="4D7B9A90" w14:textId="77777777">
      <w:pPr>
        <w:widowControl/>
        <w:jc w:val="left"/>
      </w:pPr>
      <w:r>
        <w:rPr>
          <w:rFonts w:ascii="Code2000" w:eastAsia="Code2000" w:hAnsi="Code2000" w:cs="Code2000"/>
          <w:color w:val="000000"/>
          <w:kern w:val="0"/>
          <w:sz w:val="24"/>
          <w:lang w:bidi="ar"/>
        </w:rPr>
        <w:t xml:space="preserve">Source: The Musical Quarterly , Apr., 1926, Vol. 12, No. 2 (Apr., 1926), pp. 153-165 </w:t>
      </w:r>
    </w:p>
    <w:p w14:paraId="19E55FEE" w14:textId="77777777">
      <w:pPr>
        <w:widowControl/>
        <w:jc w:val="left"/>
      </w:pPr>
      <w:r>
        <w:rPr>
          <w:rFonts w:ascii="Code2000" w:eastAsia="Code2000" w:hAnsi="Code2000" w:cs="Code2000"/>
          <w:color w:val="000000"/>
          <w:kern w:val="0"/>
          <w:sz w:val="24"/>
          <w:lang w:bidi="ar"/>
        </w:rPr>
        <w:t xml:space="preserve">Published by: Oxford University Press </w:t>
      </w:r>
    </w:p>
    <w:p w14:paraId="0F9DEA3B" w14:textId="77777777">
      <w:pPr>
        <w:widowControl/>
        <w:jc w:val="left"/>
      </w:pPr>
      <w:r>
        <w:rPr>
          <w:rFonts w:ascii="Code2000" w:eastAsia="Code2000" w:hAnsi="Code2000" w:cs="Code2000"/>
          <w:color w:val="000000"/>
          <w:kern w:val="0"/>
          <w:sz w:val="24"/>
          <w:lang w:bidi="ar"/>
        </w:rPr>
        <w:t>Stable URL: https://www.jstor.org/stable/738454</w:t>
      </w:r>
    </w:p>
    <w:p w14:paraId="382F98D3" w14:textId="77777777"/>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A1D20" w14:textId="77777777">
      <w:r>
        <w:separator/>
      </w:r>
    </w:p>
  </w:endnote>
  <w:endnote w:type="continuationSeparator" w:id="0">
    <w:p w14:paraId="1B3040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de2000">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CBDD" w14:textId="77777777">
      <w:r>
        <w:separator/>
      </w:r>
    </w:p>
  </w:footnote>
  <w:footnote w:type="continuationSeparator" w:id="0">
    <w:p w14:paraId="4CE73671"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2ODAxN2Y4NGM4NjYxMDk5NDNjMTFhMzQ1NjYxOGIifQ=="/>
  </w:docVars>
  <w:rsids>
    <w:rsidRoot w:val="00BD031C"/>
    <w:rsid w:val="00182F18"/>
    <w:rsid w:val="002C3A79"/>
    <w:rsid w:val="00980123"/>
    <w:rsid w:val="00BD031C"/>
    <w:rsid w:val="0448479E"/>
    <w:rsid w:val="071618B2"/>
    <w:rsid w:val="49ED5FDF"/>
    <w:rsid w:val="4A814D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D4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3A79"/>
    <w:pPr>
      <w:tabs>
        <w:tab w:val="center" w:pos="4153"/>
        <w:tab w:val="right" w:pos="8306"/>
      </w:tabs>
      <w:snapToGrid w:val="0"/>
      <w:jc w:val="center"/>
    </w:pPr>
    <w:rPr>
      <w:sz w:val="18"/>
      <w:szCs w:val="18"/>
    </w:rPr>
  </w:style>
  <w:style w:type="character" w:customStyle="1" w:styleId="a4">
    <w:name w:val="页眉 字符"/>
    <w:basedOn w:val="a0"/>
    <w:link w:val="a3"/>
    <w:rsid w:val="002C3A79"/>
    <w:rPr>
      <w:rFonts w:asciiTheme="minorHAnsi" w:eastAsiaTheme="minorEastAsia" w:hAnsiTheme="minorHAnsi" w:cstheme="minorBidi"/>
      <w:kern w:val="2"/>
      <w:sz w:val="18"/>
      <w:szCs w:val="18"/>
    </w:rPr>
  </w:style>
  <w:style w:type="paragraph" w:styleId="a5">
    <w:name w:val="footer"/>
    <w:basedOn w:val="a"/>
    <w:link w:val="a6"/>
    <w:rsid w:val="002C3A79"/>
    <w:pPr>
      <w:tabs>
        <w:tab w:val="center" w:pos="4153"/>
        <w:tab w:val="right" w:pos="8306"/>
      </w:tabs>
      <w:snapToGrid w:val="0"/>
      <w:jc w:val="left"/>
    </w:pPr>
    <w:rPr>
      <w:sz w:val="18"/>
      <w:szCs w:val="18"/>
    </w:rPr>
  </w:style>
  <w:style w:type="character" w:customStyle="1" w:styleId="a6">
    <w:name w:val="页脚 字符"/>
    <w:basedOn w:val="a0"/>
    <w:link w:val="a5"/>
    <w:rsid w:val="002C3A7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2684</Characters>
  <Application>Microsoft Office Word</Application>
  <DocSecurity>0</DocSecurity>
  <Lines>53</Lines>
  <Paragraphs>10</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2026-07-17T15:31:00Z</dcterms:created>
  <dcterms:modified xsi:type="dcterms:W3CDTF">2026-07-17T15:31:00Z</dcterms:modified>
</cp:coreProperties>
</file>