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F9F5E">
      <w:pPr>
        <w:keepNext w:val="0"/>
        <w:keepLines w:val="0"/>
        <w:widowControl/>
        <w:suppressLineNumbers w:val="0"/>
        <w:jc w:val="center"/>
        <w:rPr>
          <w:rStyle w:val="5"/>
          <w:rFonts w:hint="eastAsia" w:asciiTheme="majorEastAsia" w:hAnsiTheme="majorEastAsia" w:eastAsiaTheme="majorEastAsia" w:cstheme="majorEastAsia"/>
          <w:kern w:val="0"/>
          <w:sz w:val="36"/>
          <w:szCs w:val="36"/>
          <w:lang w:val="en-US" w:eastAsia="zh-CN" w:bidi="ar"/>
        </w:rPr>
      </w:pPr>
      <w:r>
        <w:rPr>
          <w:rStyle w:val="5"/>
          <w:rFonts w:hint="eastAsia" w:asciiTheme="majorEastAsia" w:hAnsiTheme="majorEastAsia" w:eastAsiaTheme="majorEastAsia" w:cstheme="majorEastAsia"/>
          <w:kern w:val="0"/>
          <w:sz w:val="36"/>
          <w:szCs w:val="36"/>
          <w:lang w:val="en-US" w:eastAsia="zh-CN" w:bidi="ar"/>
        </w:rPr>
        <w:t>基于层次分析法（</w:t>
      </w:r>
      <w:r>
        <w:rPr>
          <w:rStyle w:val="5"/>
          <w:rFonts w:hint="default" w:ascii="Times New Roman" w:hAnsi="Times New Roman" w:cs="Times New Roman" w:eastAsiaTheme="majorEastAsia"/>
          <w:kern w:val="0"/>
          <w:sz w:val="36"/>
          <w:szCs w:val="36"/>
          <w:lang w:val="en-US" w:eastAsia="zh-CN" w:bidi="ar"/>
        </w:rPr>
        <w:t>AHP</w:t>
      </w:r>
      <w:r>
        <w:rPr>
          <w:rStyle w:val="5"/>
          <w:rFonts w:hint="eastAsia" w:asciiTheme="majorEastAsia" w:hAnsiTheme="majorEastAsia" w:eastAsiaTheme="majorEastAsia" w:cstheme="majorEastAsia"/>
          <w:kern w:val="0"/>
          <w:sz w:val="36"/>
          <w:szCs w:val="36"/>
          <w:lang w:val="en-US" w:eastAsia="zh-CN" w:bidi="ar"/>
        </w:rPr>
        <w:t>）的本科毕业去向评价研究</w:t>
      </w:r>
    </w:p>
    <w:p w14:paraId="60E54120">
      <w:pPr>
        <w:keepNext w:val="0"/>
        <w:keepLines w:val="0"/>
        <w:widowControl/>
        <w:suppressLineNumbers w:val="0"/>
        <w:jc w:val="center"/>
        <w:rPr>
          <w:rStyle w:val="5"/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Theme="minorEastAsia" w:hAnsiTheme="minorEastAsia" w:eastAsiaTheme="minorEastAsia" w:cstheme="minorEastAsia"/>
          <w:b w:val="0"/>
          <w:bCs/>
          <w:kern w:val="0"/>
          <w:sz w:val="24"/>
          <w:szCs w:val="24"/>
          <w:lang w:val="en-US" w:eastAsia="zh-CN" w:bidi="ar"/>
        </w:rPr>
        <w:t xml:space="preserve">匿名 </w:t>
      </w:r>
      <w:r>
        <w:rPr>
          <w:rStyle w:val="5"/>
          <w:rFonts w:hint="default" w:ascii="Times New Roman" w:hAnsi="Times New Roman" w:cs="Times New Roman" w:eastAsiaTheme="minorEastAsia"/>
          <w:b w:val="0"/>
          <w:bCs/>
          <w:kern w:val="0"/>
          <w:sz w:val="24"/>
          <w:szCs w:val="24"/>
          <w:lang w:val="en-US" w:eastAsia="zh-CN" w:bidi="ar"/>
        </w:rPr>
        <w:t/>
      </w:r>
    </w:p>
    <w:p w14:paraId="47E02F70">
      <w:pPr>
        <w:keepNext w:val="0"/>
        <w:keepLines w:val="0"/>
        <w:widowControl/>
        <w:suppressLineNumbers w:val="0"/>
        <w:jc w:val="both"/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AF1AD1">
      <w:pPr>
        <w:keepNext w:val="0"/>
        <w:keepLines w:val="0"/>
        <w:widowControl/>
        <w:suppressLineNumbers w:val="0"/>
        <w:jc w:val="both"/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摘要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364B28A">
      <w:pPr>
        <w:keepNext w:val="0"/>
        <w:keepLines w:val="0"/>
        <w:widowControl/>
        <w:suppressLineNumbers w:val="0"/>
        <w:ind w:firstLine="420" w:firstLineChars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本科毕业去向选择是学生职业生涯规划的关键节点，涉及多因素综合决策。本研究应用层次分析法（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以自动化强基计划学生为对象，构建毕业去向评价模型。通过设定评价目标，确立学术发展潜力、经济收益、个人兴趣匹配、工作生活平衡和社会贡献五个准则层指标，并细化跟导师读硕、跟导师读博、其他院校读研、出国留学、考公务员、创业、直接就业七种方案层选项。研究通过构造判断矩阵、层次单排序及一致性检验、层次总排序及一致性检验等步骤，得出各方案权重排序。结果表明，跟导师读博为最优选择（权重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2584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），出国留学次之（权重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2361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），直接就业最不被推荐（权重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0371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）。结果从学术、经济、个人兴趣等多维度进行解释，为学生理性决策提供科学依据。本研究验证了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在教育决策中的有效性，并为高校就业指导工作提供参考。</w:t>
      </w:r>
    </w:p>
    <w:p w14:paraId="205A3198">
      <w:pPr>
        <w:keepNext w:val="0"/>
        <w:keepLines w:val="0"/>
        <w:widowControl/>
        <w:suppressLineNumbers w:val="0"/>
        <w:jc w:val="both"/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137F62"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A5EEF82"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层次分析法；毕业去向；评价模型；一致性检验；决策支持 </w:t>
      </w:r>
    </w:p>
    <w:p w14:paraId="7DCCCAD7"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6281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一、引言 </w:t>
      </w:r>
    </w:p>
    <w:p w14:paraId="7D3F5D8D">
      <w:pPr>
        <w:keepNext w:val="0"/>
        <w:keepLines w:val="0"/>
        <w:widowControl/>
        <w:suppressLineNumbers w:val="0"/>
        <w:ind w:firstLine="420" w:firstLineChars="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着高等教育普及化与个性化发展，本科毕业去向选择已成为影响学生长期职业发展的重要问题。尤其对于自动化强基计划等特色项目学生，其培养目标强调基础学科拔尖创新人才，毕业去向不仅关乎个人成长，还关系到国家关键领域人才储备。然而，毕业决策面临多目标、多因素的复杂性，如学术追求、经济压力、兴趣匹配、工作生活平衡及社会贡献等，传统主观决策往往因信息不对称或认知局限导致盲目性。层次分析法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）作为一种系统工程方法，能将定性问题定量化，通过分层结构模型整合主观判断与客观数据，适用于多准则决策问题。本研究旨在应用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构建毕业去向评价模型，通过科学计算与一致性检验，为学生提供理性决策支持，同时丰富教育决策方法论实践。研究聚焦自动化强基计划学生，但模型框架可推广至其他专业，具有普适意义。 </w:t>
      </w:r>
    </w:p>
    <w:p w14:paraId="74A5DF82">
      <w:pPr>
        <w:keepNext w:val="0"/>
        <w:keepLines w:val="0"/>
        <w:widowControl/>
        <w:suppressLineNumbers w:val="0"/>
        <w:ind w:firstLine="420" w:firstLineChars="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层次分析法由运筹学家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Saaty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于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世纪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70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年代提出，现已广泛应用于经济、管理、教育等领域的复杂决策问题。其核心思想是将决策问题分解为目标层、准则层和方案层，通过两两比较构造判断矩阵，计算权重并检验一致性，确保逻辑合理性。在教育领域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常用于课程评价、职业选择等场景。然而，现有毕业去向研究多侧重实证调研，较少引入系统工程方法，导致决策过程缺乏系统性与可视化。本研究借鉴前人经验，创新性设计多层指标结构，强化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在毕业决策中的解释力。此外，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与模糊综合评价等其他系统工程方法结合可提升精度，但为本研究基础性，暂不扩展，仅作未来展望。 </w:t>
      </w:r>
    </w:p>
    <w:p w14:paraId="0D700FE7">
      <w:pPr>
        <w:pStyle w:val="2"/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</w:p>
    <w:p w14:paraId="5886CFCC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eastAsia"/>
          <w:lang w:val="en-US" w:eastAsia="zh-CN"/>
        </w:rPr>
        <w:t>二</w:t>
      </w:r>
      <w:r>
        <w:t xml:space="preserve">、研究方法与模型构建 </w:t>
      </w:r>
    </w:p>
    <w:p w14:paraId="56D0F381">
      <w:pPr>
        <w:keepNext w:val="0"/>
        <w:keepLines w:val="0"/>
        <w:widowControl/>
        <w:suppressLineNumbers w:val="0"/>
        <w:ind w:firstLine="420" w:firstLineChars="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本研究采用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方法，流程包括评价目标设定、层次结构模型建立、判断矩阵构造、层次单排序与一致性检验、层次总排序与一致性检验五部分。首先，明确评价目标为“自动化强基计划学生本科毕业去向综合评价”，旨在通过量化分析帮助学生优化选择。其次，构建层次结构模型，目标层即毕业去向评价；准则层依据文献分析与专家咨询，选取学术发展潜力、经济收益、个人兴趣匹配、工作生活平衡、社会贡献五个指标。学术发展潜力反映去向对科研能力的促进程度，经济收益关注短期与长期收入，个人兴趣匹配强调主观偏好契合度，工作生活平衡衡量时间分配合理性，社会贡献体现对社会价值的提升作用。方案层设计七种选项，包括跟导师读硕、跟导师读博、其他院校读研、出国留学、考公务员、创业、直接就业，覆盖深造、就业、创业等主流路径。 在模型构建基础上，构造判断矩阵。准则层矩阵通过专家打分与学生调研确定两两比较值，例如学术发展潜力相较于经济收益更为重要，赋值为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，反之赋值为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，形成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阶矩阵。方案层针对每个准则分别构造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阶矩阵，如学术发展潜力准则下，跟导师读博比跟导师读硕更重要，赋值为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。矩阵构造后，采用几何平均法计算权重，公式为权重向量=归一化后的行几何平均值，并计算最大特征值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ascii="Cambria Math" w:hAnsi="Cambria Math" w:cs="宋体"/>
                <w:kern w:val="0"/>
                <w:sz w:val="24"/>
                <w:szCs w:val="24"/>
                <w:lang w:val="en-US" w:bidi="ar"/>
              </w:rPr>
              <m:t>λ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max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、一致性指标</w:t>
      </w:r>
      <m:oMath>
        <m:r>
          <m:rPr/>
          <w:rPr>
            <w:rFonts w:hint="default" w:ascii="Cambria Math" w:hAnsi="Cambria Math" w:eastAsia="宋体" w:cs="宋体"/>
            <w:kern w:val="0"/>
            <w:sz w:val="24"/>
            <w:szCs w:val="24"/>
            <w:lang w:val="en-US" w:eastAsia="zh-CN" w:bidi="ar"/>
          </w:rPr>
          <m:t>CI=</m:t>
        </m:r>
        <m:f>
          <m:fPr>
            <m:type m:val="skw"/>
            <m:ctrlPr>
              <w:rPr>
                <w:rFonts w:hint="default" w:ascii="Cambria Math" w:hAnsi="Cambria Math" w:eastAsia="宋体" w:cs="宋体"/>
                <w:i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  <w:lang w:val="en-US" w:bidi="ar"/>
                  </w:rPr>
                </m:ctrlPr>
              </m:sSubPr>
              <m:e>
                <m:r>
                  <m:rPr/>
                  <w:rPr>
                    <w:rFonts w:ascii="Cambria Math" w:hAnsi="Cambria Math" w:cs="宋体"/>
                    <w:kern w:val="0"/>
                    <w:sz w:val="24"/>
                    <w:szCs w:val="24"/>
                    <w:lang w:val="en-US" w:bidi="ar"/>
                  </w:rPr>
                  <m:t>λ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kern w:val="0"/>
                    <w:sz w:val="24"/>
                    <w:szCs w:val="24"/>
                    <w:lang w:val="en-US" w:eastAsia="zh-CN" w:bidi="ar"/>
                  </w:rPr>
                  <m:t>max</m:t>
                </m:r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  <w:lang w:val="en-US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−n</m:t>
            </m:r>
            <m:ctrlPr>
              <w:rPr>
                <w:rFonts w:hint="default" w:ascii="Cambria Math" w:hAnsi="Cambria Math" w:eastAsia="宋体" w:cs="宋体"/>
                <w:i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eastAsia="宋体" w:cs="宋体"/>
                <w:kern w:val="0"/>
                <w:sz w:val="24"/>
                <w:szCs w:val="24"/>
                <w:lang w:val="en-US" w:eastAsia="zh-CN" w:bidi="ar"/>
              </w:rPr>
              <m:t>n−1</m:t>
            </m:r>
            <m:ctrlPr>
              <w:rPr>
                <w:rFonts w:hint="default" w:ascii="Cambria Math" w:hAnsi="Cambria Math" w:eastAsia="宋体" w:cs="宋体"/>
                <w:i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及一致性比率</w:t>
      </w:r>
      <m:oMath>
        <m:r>
          <m:rPr/>
          <w:rPr>
            <w:rFonts w:hint="default" w:ascii="Cambria Math" w:hAnsi="Cambria Math" w:eastAsia="宋体" w:cs="宋体"/>
            <w:kern w:val="0"/>
            <w:sz w:val="24"/>
            <w:szCs w:val="24"/>
            <w:lang w:val="en-US" w:eastAsia="zh-CN" w:bidi="ar"/>
          </w:rPr>
          <m:t>CR=</m:t>
        </m:r>
        <m:f>
          <m:fPr>
            <m:type m:val="skw"/>
            <m:ctrlPr>
              <w:rPr>
                <w:rFonts w:hint="default" w:ascii="Cambria Math" w:hAnsi="Cambria Math" w:eastAsia="宋体" w:cs="宋体"/>
                <w:i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eastAsia="宋体" w:cs="宋体"/>
                <w:kern w:val="0"/>
                <w:sz w:val="24"/>
                <w:szCs w:val="24"/>
                <w:lang w:val="en-US" w:eastAsia="zh-CN" w:bidi="ar"/>
              </w:rPr>
              <m:t>CI</m:t>
            </m:r>
            <m:ctrlPr>
              <w:rPr>
                <w:rFonts w:hint="default" w:ascii="Cambria Math" w:hAnsi="Cambria Math" w:eastAsia="宋体" w:cs="宋体"/>
                <w:i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eastAsia="宋体" w:cs="宋体"/>
                <w:kern w:val="0"/>
                <w:sz w:val="24"/>
                <w:szCs w:val="24"/>
                <w:lang w:val="en-US" w:eastAsia="zh-CN" w:bidi="ar"/>
              </w:rPr>
              <m:t>RI</m:t>
            </m:r>
            <m:ctrlPr>
              <w:rPr>
                <w:rFonts w:hint="default" w:ascii="Cambria Math" w:hAnsi="Cambria Math" w:eastAsia="宋体" w:cs="宋体"/>
                <w:i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m:oMath>
        <m:r>
          <m:rPr/>
          <w:rPr>
            <w:rFonts w:hint="default" w:ascii="Cambria Math" w:hAnsi="Cambria Math" w:eastAsia="宋体" w:cs="宋体"/>
            <w:kern w:val="0"/>
            <w:sz w:val="24"/>
            <w:szCs w:val="24"/>
            <w:lang w:val="en-US" w:eastAsia="zh-CN" w:bidi="ar"/>
          </w:rPr>
          <m:t>RI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为随机一致性指数）。若</w:t>
      </w:r>
      <m:oMath>
        <m:r>
          <m:rPr/>
          <w:rPr>
            <w:rFonts w:hint="default" w:ascii="Cambria Math" w:hAnsi="Cambria Math" w:eastAsia="宋体" w:cs="宋体"/>
            <w:kern w:val="0"/>
            <w:sz w:val="24"/>
            <w:szCs w:val="24"/>
            <w:lang w:val="en-US" w:eastAsia="zh-CN" w:bidi="ar"/>
          </w:rPr>
          <m:t>CR</m:t>
        </m:r>
        <m:r>
          <m:rPr/>
          <w:rPr>
            <w:rFonts w:hint="default" w:ascii="Cambria Math" w:hAnsi="Cambria Math" w:eastAsia="宋体" w:cs="Cambria Math"/>
            <w:kern w:val="0"/>
            <w:sz w:val="24"/>
            <w:szCs w:val="24"/>
            <w:lang w:val="en-US" w:eastAsia="zh-CN" w:bidi="ar"/>
          </w:rPr>
          <m:t>&lt;</m:t>
        </m:r>
        <m:r>
          <m:rPr/>
          <w:rPr>
            <w:rFonts w:hint="default" w:ascii="Cambria Math" w:hAnsi="Cambria Math" w:eastAsia="宋体" w:cs="宋体"/>
            <w:kern w:val="0"/>
            <w:sz w:val="24"/>
            <w:szCs w:val="24"/>
            <w:lang w:val="en-US" w:eastAsia="zh-CN" w:bidi="ar"/>
          </w:rPr>
          <m:t>0.1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，通过一致性检验，否则调整矩阵。 </w:t>
      </w:r>
    </w:p>
    <w:p w14:paraId="2B0A7A81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eastAsia"/>
          <w:lang w:val="en-US" w:eastAsia="zh-CN"/>
        </w:rPr>
        <w:t>三</w:t>
      </w:r>
      <w:r>
        <w:t xml:space="preserve">、结果分析 </w:t>
      </w:r>
    </w:p>
    <w:p w14:paraId="378A92A0">
      <w:pPr>
        <w:keepNext w:val="0"/>
        <w:keepLines w:val="0"/>
        <w:widowControl/>
        <w:suppressLineNumbers w:val="0"/>
        <w:ind w:firstLine="420" w:firstLineChars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层次单排序结果显示，准则层权重排序为社会贡献（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2865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）、学术发展潜力（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2584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）、个人兴趣匹配（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2177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）、工作生活平衡（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1665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）、经济收益（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0709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），所有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CR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值小于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，通过检验，表明准则间相对重要性合理。方案层单排序中，各准则下权重分布各异，如学术发展潜力准则下，跟导师读博权重最高（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），直接就业最低（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）；经济收益准则下，创业权重最高（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）。各矩阵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CR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均小于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，通过一致性检验，保证权重可靠性。 层次总排序通过加权求和得出，跟导师读博权重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2584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，出国留学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2361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，跟导师读硕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1529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，其他院校读研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1287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，创业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1073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，考公务员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0795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，直接就业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0371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。总排序一致性检验中，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CI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total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为准则层权重加权的方案层</w:t>
      </w:r>
      <m:oMath>
        <m:r>
          <m:rPr/>
          <w:rPr>
            <w:rFonts w:hint="default" w:ascii="Cambria Math" w:hAnsi="Cambria Math" w:eastAsia="宋体" w:cs="宋体"/>
            <w:kern w:val="0"/>
            <w:sz w:val="24"/>
            <w:szCs w:val="24"/>
            <w:lang w:val="en-US" w:eastAsia="zh-CN" w:bidi="ar"/>
          </w:rPr>
          <m:t>CI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之和，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RI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total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ub>
        </m:sSub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为加权的</w:t>
      </w:r>
      <m:oMath>
        <m:r>
          <m:rPr/>
          <w:rPr>
            <w:rFonts w:hint="default" w:ascii="Cambria Math" w:hAnsi="Cambria Math" w:eastAsia="宋体" w:cs="宋体"/>
            <w:kern w:val="0"/>
            <w:sz w:val="24"/>
            <w:szCs w:val="24"/>
            <w:lang w:val="en-US" w:eastAsia="zh-CN" w:bidi="ar"/>
          </w:rPr>
          <m:t>RI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之和，计算得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CI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0"/>
                <w:sz w:val="24"/>
                <w:szCs w:val="24"/>
                <w:lang w:val="en-US" w:eastAsia="zh-CN" w:bidi="ar"/>
              </w:rPr>
              <m:t>total</m:t>
            </m: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  <w:lang w:val="en-US" w:bidi="ar"/>
              </w:rPr>
            </m:ctrlPr>
          </m:sub>
        </m:sSub>
        <m:r>
          <m:rPr/>
          <w:rPr>
            <w:rFonts w:hint="default" w:ascii="Cambria Math" w:hAnsi="Cambria Math" w:cs="宋体"/>
            <w:kern w:val="0"/>
            <w:sz w:val="24"/>
            <w:szCs w:val="24"/>
            <w:lang w:val="en-US" w:eastAsia="zh-CN" w:bidi="ar"/>
          </w:rPr>
          <m:t>=0.056&lt;0.1</m:t>
        </m:r>
      </m:oMath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，通过检验，表明总排序可信。排序结果可视化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如图一。它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显示，跟导师读博与出国留学在雷达图中于学术、兴趣准则表现突出，而创业在经济准则领先。 </w:t>
      </w:r>
    </w:p>
    <w:p w14:paraId="070E83F8">
      <w:pPr>
        <w:keepNext w:val="0"/>
        <w:keepLines w:val="0"/>
        <w:widowControl/>
        <w:suppressLineNumbers w:val="0"/>
        <w:ind w:firstLine="420" w:firstLineChars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675" cy="2696210"/>
            <wp:effectExtent l="0" t="0" r="0" b="0"/>
            <wp:docPr id="1" name="图片 1" descr="屏幕截图 2025-10-26 22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26 225206"/>
                    <pic:cNvPicPr>
                      <a:picLocks noChangeAspect="1"/>
                    </pic:cNvPicPr>
                  </pic:nvPicPr>
                  <pic:blipFill>
                    <a:blip r:embed="rId4"/>
                    <a:srcRect t="63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697821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图一：自动化强基计划学生毕业去向AHP分析结果</w:t>
      </w:r>
    </w:p>
    <w:p w14:paraId="4421EDA0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eastAsia"/>
          <w:lang w:val="en-US" w:eastAsia="zh-CN"/>
        </w:rPr>
        <w:t>四</w:t>
      </w:r>
      <w:r>
        <w:t xml:space="preserve">、讨论与解释 </w:t>
      </w:r>
    </w:p>
    <w:p w14:paraId="754F1C8E">
      <w:pPr>
        <w:keepNext w:val="0"/>
        <w:keepLines w:val="0"/>
        <w:widowControl/>
        <w:suppressLineNumbers w:val="0"/>
        <w:ind w:firstLine="420" w:firstLineChars="0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排序结果反映了自动化强基计划学生发展倾向。跟导师读博最优，原因在于其深度融合学术资源与导师指导，契合强基计划培养目标，学生在学术发展潜力（权重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）和个人兴趣匹配（权重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准则得分高，利于长期科研生涯。出国留学次优，因国际化平台拓宽视野，在学术准则表现良好，但经济成本较高拉低总分。跟导师读硕与其他院校读研作为过渡选择，权重适中，适合学术兴趣较强但暂不深入读博者。创业虽经济收益最高，但风险大，在其他准则得分低，故总权重居中。考公务员在工作生活平衡准则领先，提供稳定性，但创新性不足导致权重较低。直接就业最差，因强基计划侧重基础研究，就业难以发挥学术优势，经济收益与社会贡献表现均弱。 实际决策中，学生需结合个人情况调整。例如，经济压力大者可侧重经济收益准则，提高创业权重；追求平衡者可选考公务员。本研究模型提供框架，但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主观性仍为局限，未来可引入模糊数学处理不确定性。此外，结果对高校有启示，如强基计划应加强博士培养支持，就业指导需差异化服务。 </w:t>
      </w:r>
    </w:p>
    <w:p w14:paraId="3643BAB5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eastAsia"/>
          <w:lang w:val="en-US" w:eastAsia="zh-CN"/>
        </w:rPr>
        <w:t>五</w:t>
      </w:r>
      <w:r>
        <w:t xml:space="preserve">、结论与展望 </w:t>
      </w:r>
    </w:p>
    <w:p w14:paraId="5A3EA3CB">
      <w:pPr>
        <w:keepNext w:val="0"/>
        <w:keepLines w:val="0"/>
        <w:widowControl/>
        <w:suppressLineNumbers w:val="0"/>
        <w:ind w:firstLine="420" w:firstLineChars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本研究成功应用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毕业去向评价，验证了系统工程方法在教育决策中的实用性。通过规范模型构建与检验，得出科学排序，为学生提供量化参考。研究贡献在于整合多维度准则，强化决策逻辑，但存在不足：准则层未涵盖地域因素等指标，判断矩阵依赖主观数据，未来可增加样本量或结合客观统计数据。展望方面，可建立多个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模型比较不同专业学生选择，或引入神经网络优化权重计算，进一步提升模型鲁棒性。总之，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AHP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为复杂决策提供有效工具，后续研究可拓展至终身职业规划，深化系统工程在教育领域的应用。 </w:t>
      </w:r>
    </w:p>
    <w:p w14:paraId="2427548B">
      <w:pPr>
        <w:pStyle w:val="2"/>
        <w:keepNext w:val="0"/>
        <w:keepLines w:val="0"/>
        <w:widowControl/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54E6EF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rPr>
          <w:rFonts w:hint="eastAsia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文章代码如下：</w:t>
      </w:r>
    </w:p>
    <w:p w14:paraId="413E3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clear;</w:t>
      </w:r>
    </w:p>
    <w:p w14:paraId="7C938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clc;</w:t>
      </w:r>
    </w:p>
    <w:p w14:paraId="18E64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</w:p>
    <w:p w14:paraId="561C8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ahp_graduation_decision()</w:t>
      </w:r>
    </w:p>
    <w:p w14:paraId="00F51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AHP方法进行毕业去向决策分析</w:t>
      </w:r>
    </w:p>
    <w:p w14:paraId="706B5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自动化强基计划学生毕业去向评价</w:t>
      </w:r>
    </w:p>
    <w:p w14:paraId="1BBF6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'=== AHP毕业去向决策分析 ===\n\n'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1FD93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定义方案名称</w:t>
      </w:r>
    </w:p>
    <w:p w14:paraId="418FE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alternatives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'A:跟导师读硕'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'B:跟导师读博'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'C:其他院校读研'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...</w:t>
      </w:r>
    </w:p>
    <w:p w14:paraId="59588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'D:出国留学'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'E:考公务员'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'F:创业'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'G:直接就业'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};</w:t>
      </w:r>
    </w:p>
    <w:p w14:paraId="7FBB9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定义准则名称</w:t>
      </w:r>
    </w:p>
    <w:p w14:paraId="6900B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criteria =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'学术发展潜力'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'经济收益'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'个人兴趣匹配'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...</w:t>
      </w:r>
    </w:p>
    <w:p w14:paraId="4953A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'工作生活平衡'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'社会贡献'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};</w:t>
      </w:r>
    </w:p>
    <w:p w14:paraId="756E7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1. 准则层判断矩阵</w:t>
      </w:r>
    </w:p>
    <w:p w14:paraId="6E4DD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criteria_matrix = [</w:t>
      </w:r>
    </w:p>
    <w:p w14:paraId="4C816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1, 3, 2, 4, 3;</w:t>
      </w:r>
    </w:p>
    <w:p w14:paraId="50B10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1/3, 1, 1/2, 2, 1;</w:t>
      </w:r>
    </w:p>
    <w:p w14:paraId="1C392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2, 1, 3, 2;</w:t>
      </w:r>
    </w:p>
    <w:p w14:paraId="2F6AF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1/4, 1/2, 1/3, 1, 1/2;</w:t>
      </w:r>
    </w:p>
    <w:p w14:paraId="6DD57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1/3, 1, 1/2, 2, 1</w:t>
      </w:r>
    </w:p>
    <w:p w14:paraId="60F2F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];</w:t>
      </w:r>
    </w:p>
    <w:p w14:paraId="2C06F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2. 方案层判断矩阵（每个准则对应一个7x7矩阵）</w:t>
      </w:r>
    </w:p>
    <w:p w14:paraId="4669D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alternative_matrices = cell(5, 1);</w:t>
      </w:r>
    </w:p>
    <w:p w14:paraId="7D4A3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准则1: 学术发展潜力</w:t>
      </w:r>
    </w:p>
    <w:p w14:paraId="3B0DB3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alternative_matrices{1} = [</w:t>
      </w:r>
    </w:p>
    <w:p w14:paraId="4D887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1, 1/2, 2, 1/3, 4, 5, 3;</w:t>
      </w:r>
    </w:p>
    <w:p w14:paraId="68F66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2, 1, 3, 1/2, 5, 6, 4;</w:t>
      </w:r>
    </w:p>
    <w:p w14:paraId="16938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1/3, 1, 1/4, 3, 4, 2;</w:t>
      </w:r>
    </w:p>
    <w:p w14:paraId="40994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3, 2, 4, 1, 6, 7, 5;</w:t>
      </w:r>
    </w:p>
    <w:p w14:paraId="5195E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1/4, 1/5, 1/3, 1/6, 1, 2, 1/2;</w:t>
      </w:r>
    </w:p>
    <w:p w14:paraId="597E1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1/5, 1/6, 1/4, 1/7, 1/2, 1, 1/3;</w:t>
      </w:r>
    </w:p>
    <w:p w14:paraId="3773FC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1/3, 1/4, 1/2, 1/5, 2, 3, 1</w:t>
      </w:r>
    </w:p>
    <w:p w14:paraId="014B1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];</w:t>
      </w:r>
    </w:p>
    <w:p w14:paraId="28492F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准则2: 经济收益</w:t>
      </w:r>
    </w:p>
    <w:p w14:paraId="1F874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alternative_matrices{2} = [</w:t>
      </w:r>
    </w:p>
    <w:p w14:paraId="45CEE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1, 1/3, 2, 1/2, 1/4, 1/5, 2;</w:t>
      </w:r>
    </w:p>
    <w:p w14:paraId="213A1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3, 1, 4, 2, 1/2, 1/3, 4;</w:t>
      </w:r>
    </w:p>
    <w:p w14:paraId="5E773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1/4, 1, 1/3, 1/5, 1/6, 1;</w:t>
      </w:r>
    </w:p>
    <w:p w14:paraId="5D441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2, 1/2, 3, 1, 1/3, 1/4, 3;</w:t>
      </w:r>
    </w:p>
    <w:p w14:paraId="28ED2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4, 2, 5, 3, 1, 1/2, 5;</w:t>
      </w:r>
    </w:p>
    <w:p w14:paraId="15F2B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5, 3, 6, 4, 2, 1, 6;</w:t>
      </w:r>
    </w:p>
    <w:p w14:paraId="7A4EC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1/4, 1, 1/3, 1/5, 1/6, 1</w:t>
      </w:r>
    </w:p>
    <w:p w14:paraId="0ABEB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];</w:t>
      </w:r>
    </w:p>
    <w:p w14:paraId="3B970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准则3: 个人兴趣匹配</w:t>
      </w:r>
    </w:p>
    <w:p w14:paraId="3E4D5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alternative_matrices{3} = [</w:t>
      </w:r>
    </w:p>
    <w:p w14:paraId="7009C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1, 1/2, 3, 2, 4, 5, 3;</w:t>
      </w:r>
    </w:p>
    <w:p w14:paraId="7D110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2, 1, 4, 3, 5, 6, 4;</w:t>
      </w:r>
    </w:p>
    <w:p w14:paraId="6BFA4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1/3, 1/4, 1, 1/2, 2, 3, 1;</w:t>
      </w:r>
    </w:p>
    <w:p w14:paraId="08AC0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1/3, 2, 1, 3, 4, 2;</w:t>
      </w:r>
    </w:p>
    <w:p w14:paraId="558B8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1/4, 1/5, 1/2, 1/3, 1, 2, 1/2;</w:t>
      </w:r>
    </w:p>
    <w:p w14:paraId="0AB3C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1/5, 1/6, 1/3, 1/4, 1/2, 1, 1/3;</w:t>
      </w:r>
    </w:p>
    <w:p w14:paraId="4D8C9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1/3, 1/4, 1, 1/2, 2, 3, 1</w:t>
      </w:r>
    </w:p>
    <w:p w14:paraId="049AC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];</w:t>
      </w:r>
    </w:p>
    <w:p w14:paraId="0C20FF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准则4: 工作生活平衡</w:t>
      </w:r>
    </w:p>
    <w:p w14:paraId="71406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alternative_matrices{4} = [</w:t>
      </w:r>
    </w:p>
    <w:p w14:paraId="37A1A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1, 1/2, 2, 1/3, 1/4, 1/5, 2;</w:t>
      </w:r>
    </w:p>
    <w:p w14:paraId="2B46A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2, 1, 3, 1/2, 1/3, 1/4, 3;</w:t>
      </w:r>
    </w:p>
    <w:p w14:paraId="0AA67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1/3, 1, 1/4, 1/5, 1/6, 1;</w:t>
      </w:r>
    </w:p>
    <w:p w14:paraId="7C2FD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3, 2, 4, 1, 1/2, 1/3, 4;</w:t>
      </w:r>
    </w:p>
    <w:p w14:paraId="4D25F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4, 3, 5, 2, 1, 1/2, 5;</w:t>
      </w:r>
    </w:p>
    <w:p w14:paraId="5B4D3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5, 4, 6, 3, 2, 1, 6;</w:t>
      </w:r>
    </w:p>
    <w:p w14:paraId="7F7BF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1/3, 1, 1/4, 1/5, 1/6, 1</w:t>
      </w:r>
    </w:p>
    <w:p w14:paraId="6B625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];</w:t>
      </w:r>
    </w:p>
    <w:p w14:paraId="3BFFF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准则5: 社会贡献</w:t>
      </w:r>
    </w:p>
    <w:p w14:paraId="22969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alternative_matrices{5} = [</w:t>
      </w:r>
    </w:p>
    <w:p w14:paraId="6BF6D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1, 1/3, 2, 1/2, 3, 4, 2;</w:t>
      </w:r>
    </w:p>
    <w:p w14:paraId="410B0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3, 1, 4, 2, 5, 6, 4;</w:t>
      </w:r>
    </w:p>
    <w:p w14:paraId="6F2D5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1/4, 1, 1/3, 2, 3, 1;</w:t>
      </w:r>
    </w:p>
    <w:p w14:paraId="08E09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2, 1/2, 3, 1, 4, 5, 3;</w:t>
      </w:r>
    </w:p>
    <w:p w14:paraId="76BC5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1/3, 1/5, 1/2, 1/4, 1, 2, 1/2;</w:t>
      </w:r>
    </w:p>
    <w:p w14:paraId="43910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1/4, 1/6, 1/3, 1/5, 1/2, 1, 1/3;</w:t>
      </w:r>
    </w:p>
    <w:p w14:paraId="4DDD7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1/2, 1/4, 1, 1/3, 2, 3, 1</w:t>
      </w:r>
    </w:p>
    <w:p w14:paraId="43826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];</w:t>
      </w:r>
    </w:p>
    <w:p w14:paraId="330DF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3. 层次单排序和一致性检验</w:t>
      </w:r>
    </w:p>
    <w:p w14:paraId="3581E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'=== 层次单排序 ===\n\n'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7410A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准则层权重计算</w:t>
      </w:r>
    </w:p>
    <w:p w14:paraId="2841B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'准则层权重计算:\n'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621FB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[criteria_weights, criteria_consistency] = calculate_weights(criteria_matrix);</w:t>
      </w:r>
    </w:p>
    <w:p w14:paraId="5B3B8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i = 1:length(criteria)</w:t>
      </w:r>
    </w:p>
    <w:p w14:paraId="70ABF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'%s: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criteria{i}, criteria_weights(i));</w:t>
      </w:r>
    </w:p>
    <w:p w14:paraId="68832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7BE11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'一致性比率 CR = %.4f (%s)\n\n'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criteria_consistency,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...</w:t>
      </w:r>
    </w:p>
    <w:p w14:paraId="21A50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iif(criteria_consistency &lt; 0.1,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'通过检验'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'未通过检验'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));</w:t>
      </w:r>
    </w:p>
    <w:p w14:paraId="0B230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方案层权重计算</w:t>
      </w:r>
    </w:p>
    <w:p w14:paraId="52C00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alternative_weights = zeros(length(alternatives), length(criteria));</w:t>
      </w:r>
    </w:p>
    <w:p w14:paraId="0176E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alternative_consistency = zeros(1, length(criteria));</w:t>
      </w:r>
    </w:p>
    <w:p w14:paraId="64AAB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'方案层权重计算:\n'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205C4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i = 1:length(criteria)</w:t>
      </w:r>
    </w:p>
    <w:p w14:paraId="593C0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'\n准则 %d: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i, criteria{i});</w:t>
      </w:r>
    </w:p>
    <w:p w14:paraId="24F6E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[weights, consistency] = calculate_weights(alternative_matrices{i});</w:t>
      </w:r>
    </w:p>
    <w:p w14:paraId="63888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alternative_weights(:, i) = weights;</w:t>
      </w:r>
    </w:p>
    <w:p w14:paraId="1E554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alternative_consistency(i) = consistency;</w:t>
      </w:r>
    </w:p>
    <w:p w14:paraId="285F75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j = 1:length(alternatives)</w:t>
      </w:r>
    </w:p>
    <w:p w14:paraId="0700CF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 %s: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alternatives{j}, weights(j));</w:t>
      </w:r>
    </w:p>
    <w:p w14:paraId="53D5D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2AB70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 一致性比率 CR = %.4f (%s)\n'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consistency,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...</w:t>
      </w:r>
    </w:p>
    <w:p w14:paraId="25E10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iif(consistency &lt; 0.1,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'通过检验'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'未通过检验'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));</w:t>
      </w:r>
    </w:p>
    <w:p w14:paraId="6B004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07B66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4. 层次总排序</w:t>
      </w:r>
    </w:p>
    <w:p w14:paraId="4C6CEF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'\n=== 层次总排序 ===\n\n'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3988C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total_weights = alternative_weights * criteria_weights;</w:t>
      </w:r>
    </w:p>
    <w:p w14:paraId="52CE4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按权重排序</w:t>
      </w:r>
    </w:p>
    <w:p w14:paraId="1FE85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[sorted_weights, sorted_indices] = sort(total_weights,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76DE4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'各方案总权重排序:\n'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4A9079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i = 1:length(alternatives)</w:t>
      </w:r>
    </w:p>
    <w:p w14:paraId="139384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idx = sorted_indices(i);</w:t>
      </w:r>
    </w:p>
    <w:p w14:paraId="0FC97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'%d. %s: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i, alternatives{idx}, sorted_weights(i));</w:t>
      </w:r>
    </w:p>
    <w:p w14:paraId="275E8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19222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5. 总排序一致性检验</w:t>
      </w:r>
    </w:p>
    <w:p w14:paraId="271B7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'\n=== 总排序一致性检验 ===\n\n'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44CCA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随机一致性指数RI（根据矩阵阶数）</w:t>
      </w:r>
    </w:p>
    <w:p w14:paraId="4D4B2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RI_values = [0, 0, 0.58, 0.90, 1.12, 1.24, 1.32, 1.41, 1.45, 1.49];</w:t>
      </w:r>
    </w:p>
    <w:p w14:paraId="5286B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CI_total = 0;</w:t>
      </w:r>
    </w:p>
    <w:p w14:paraId="5166F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RI_total = 0;</w:t>
      </w:r>
    </w:p>
    <w:p w14:paraId="209AC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i = 1:length(criteria)</w:t>
      </w:r>
    </w:p>
    <w:p w14:paraId="61016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n = size(alternative_matrices{i}, 1);</w:t>
      </w:r>
    </w:p>
    <w:p w14:paraId="00CAA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CI_i = (alternative_consistency(i) * RI_values(n));</w:t>
      </w:r>
    </w:p>
    <w:p w14:paraId="536E5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CI_total = CI_total + criteria_weights(i) * CI_i;</w:t>
      </w:r>
    </w:p>
    <w:p w14:paraId="2577A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RI_total = RI_total + criteria_weights(i) * RI_values(n);</w:t>
      </w:r>
    </w:p>
    <w:p w14:paraId="11DB2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02629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CR_total = CI_total / RI_total;</w:t>
      </w:r>
    </w:p>
    <w:p w14:paraId="01DE1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'总一致性比率 CR_total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CR_total);</w:t>
      </w:r>
    </w:p>
    <w:p w14:paraId="57064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'检验结果: %s\n\n'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iif(CR_total &lt; 0.1,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'通过一致性检验'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'未通过一致性检验'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));</w:t>
      </w:r>
    </w:p>
    <w:p w14:paraId="62E3F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6. 结果解释</w:t>
      </w:r>
    </w:p>
    <w:p w14:paraId="25203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'=== 结果解释 ===\n\n'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79903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'分析结果说明:\n'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6A315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'1. 最优选择: %s (权重: %.4f)\n'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alternatives{sorted_indices(1)}, sorted_weights(1));</w:t>
      </w:r>
    </w:p>
    <w:p w14:paraId="0F49F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'2. 次优选择: %s (权重: %.4f)\n'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alternatives{sorted_indices(2)}, sorted_weights(2));</w:t>
      </w:r>
    </w:p>
    <w:p w14:paraId="3845F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'3. 最差选择: %s (权重: %.4f)\n\n'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alternatives{sorted_indices(end)}, sorted_weights(end));</w:t>
      </w:r>
    </w:p>
    <w:p w14:paraId="5C5DB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7. 可视化结果</w:t>
      </w:r>
    </w:p>
    <w:p w14:paraId="052DD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visualize_results(alternatives, total_weights, criteria, criteria_weights, alternative_weights);</w:t>
      </w:r>
    </w:p>
    <w:p w14:paraId="33A76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60620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</w:p>
    <w:p w14:paraId="49524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[weights, consistency_ratio] = calculate_weights(matrix)</w:t>
      </w:r>
    </w:p>
    <w:p w14:paraId="3630C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计算判断矩阵的权重和一致性比率</w:t>
      </w:r>
    </w:p>
    <w:p w14:paraId="1DA00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n = size(matrix, 1);</w:t>
      </w:r>
    </w:p>
    <w:p w14:paraId="63658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计算权重（几何平均法）</w:t>
      </w:r>
    </w:p>
    <w:p w14:paraId="675F9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row_products = prod(matrix, 2);</w:t>
      </w:r>
    </w:p>
    <w:p w14:paraId="4C617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weights = row_products .^ (1/n);</w:t>
      </w:r>
    </w:p>
    <w:p w14:paraId="5D968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weights = weights / sum(weights);</w:t>
      </w:r>
    </w:p>
    <w:p w14:paraId="2C4FD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计算最大特征值</w:t>
      </w:r>
    </w:p>
    <w:p w14:paraId="745B7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lambda_max = max(eig(matrix));</w:t>
      </w:r>
    </w:p>
    <w:p w14:paraId="607E1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一致性指标</w:t>
      </w:r>
    </w:p>
    <w:p w14:paraId="453762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CI = (lambda_max - n) / (n - 1);</w:t>
      </w:r>
    </w:p>
    <w:p w14:paraId="5EC19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随机一致性指数</w:t>
      </w:r>
    </w:p>
    <w:p w14:paraId="2BF26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RI_values = [0, 0, 0.58, 0.90, 1.12, 1.24, 1.32, 1.41, 1.45, 1.49];</w:t>
      </w:r>
    </w:p>
    <w:p w14:paraId="5096A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RI = RI_values(n);</w:t>
      </w:r>
    </w:p>
    <w:p w14:paraId="0BD90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一致性比率</w:t>
      </w:r>
    </w:p>
    <w:p w14:paraId="67788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consistency_ratio = CI / RI;</w:t>
      </w:r>
    </w:p>
    <w:p w14:paraId="06DF6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64273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</w:p>
    <w:p w14:paraId="33C68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result = iif(condition, true_value, false_value)</w:t>
      </w:r>
    </w:p>
    <w:p w14:paraId="1FC85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简化的条件判断函数</w:t>
      </w:r>
    </w:p>
    <w:p w14:paraId="086E6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condition</w:t>
      </w:r>
    </w:p>
    <w:p w14:paraId="625AF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result = true_value;</w:t>
      </w:r>
    </w:p>
    <w:p w14:paraId="11924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else</w:t>
      </w:r>
    </w:p>
    <w:p w14:paraId="229EA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result = false_value;</w:t>
      </w:r>
    </w:p>
    <w:p w14:paraId="65E2E7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6E669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0C9C9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</w:p>
    <w:p w14:paraId="4787F1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visualize_results(alternatives, weights, criteria, criteria_weights, alternative_weights)</w:t>
      </w:r>
    </w:p>
    <w:p w14:paraId="3D096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可视化结果</w:t>
      </w:r>
    </w:p>
    <w:p w14:paraId="5D9AC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[100, 100, 1200, 800]);</w:t>
      </w:r>
    </w:p>
    <w:p w14:paraId="588EC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子图1: 方案总权重柱状图</w:t>
      </w:r>
    </w:p>
    <w:p w14:paraId="5F94F1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subplot(2, 2, 1);</w:t>
      </w:r>
    </w:p>
    <w:p w14:paraId="64BB7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bar(weights,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[0.2, 0.6, 0.8]);</w:t>
      </w:r>
    </w:p>
    <w:p w14:paraId="3FBDE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'各方案总权重排序'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1396C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'方案'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1921B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'权重'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33F42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set(gca,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'XTickLabel'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alternatives);</w:t>
      </w:r>
    </w:p>
    <w:p w14:paraId="372FC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xtickangle(45);</w:t>
      </w:r>
    </w:p>
    <w:p w14:paraId="6E412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;</w:t>
      </w:r>
    </w:p>
    <w:p w14:paraId="72EFB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子图2: 准则权重饼图</w:t>
      </w:r>
    </w:p>
    <w:p w14:paraId="12A73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subplot(2, 2, 2);</w:t>
      </w:r>
    </w:p>
    <w:p w14:paraId="1429B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pie(criteria_weights, criteria);</w:t>
      </w:r>
    </w:p>
    <w:p w14:paraId="26E75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'准则层权重分布'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11636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子图3: 修正的雷达图 - 展示前两名方案在各准则下的表现</w:t>
      </w:r>
    </w:p>
    <w:p w14:paraId="3EFFA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subplot(2, 2, 3);</w:t>
      </w:r>
    </w:p>
    <w:p w14:paraId="6E52A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[~, sorted_indices] = sort(weights,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0DA6C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top2_indices = sorted_indices(1:2);</w:t>
      </w:r>
    </w:p>
    <w:p w14:paraId="2F277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准备雷达图数据</w:t>
      </w:r>
    </w:p>
    <w:p w14:paraId="47B95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radar_data = alternative_weights(top2_indices, :)';</w:t>
      </w:r>
    </w:p>
    <w:p w14:paraId="38252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创建雷达图</w:t>
      </w:r>
    </w:p>
    <w:p w14:paraId="14C34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categories = criteria;</w:t>
      </w:r>
    </w:p>
    <w:p w14:paraId="0D865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angles = linspace(0, 2*pi, length(categories)+1);</w:t>
      </w:r>
    </w:p>
    <w:p w14:paraId="673378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angles = angles(1:end-1);</w:t>
      </w:r>
    </w:p>
    <w:p w14:paraId="78797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绘制雷达图</w:t>
      </w:r>
    </w:p>
    <w:p w14:paraId="7C20F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polarplot([angles, angles(1)], [radar_data(:,1); radar_data(1,1)],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2);</w:t>
      </w:r>
    </w:p>
    <w:p w14:paraId="2125F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;</w:t>
      </w:r>
    </w:p>
    <w:p w14:paraId="44CA1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polarplot([angles, angles(1)], [radar_data(:,2); radar_data(1,2)],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'b-'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, 2);</w:t>
      </w:r>
    </w:p>
    <w:p w14:paraId="1EF4A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设置角度标签</w:t>
      </w:r>
    </w:p>
    <w:p w14:paraId="60978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ax = gca;</w:t>
      </w:r>
    </w:p>
    <w:p w14:paraId="26A77D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ax.ThetaTick = rad2deg(angles);</w:t>
      </w:r>
    </w:p>
    <w:p w14:paraId="1703FD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ax.ThetaTickLabel = categories;</w:t>
      </w:r>
    </w:p>
    <w:p w14:paraId="38222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'前两名方案在各准则下表现'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6C4A3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legend({alternatives{top2_indices(1)}, alternatives{top2_indices(2)}},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4A365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子图4: 文本说明</w:t>
      </w:r>
    </w:p>
    <w:p w14:paraId="25B71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subplot(2, 2, 4);</w:t>
      </w:r>
    </w:p>
    <w:p w14:paraId="1E704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;</w:t>
      </w:r>
    </w:p>
    <w:p w14:paraId="14FED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[sorted_weights, sorted_indices] = sort(weights,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73E7E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'AHP分析结论:\n\n'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34B8C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'推荐选择: %s\n权重: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...</w:t>
      </w:r>
    </w:p>
    <w:p w14:paraId="3A7D5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alternatives{sorted_indices(1)}, sorted_weights(1))];</w:t>
      </w:r>
    </w:p>
    <w:p w14:paraId="202A8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'次选: %s\n权重: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...</w:t>
      </w:r>
    </w:p>
    <w:p w14:paraId="540F8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alternatives{sorted_indices(2)}, sorted_weights(2))];</w:t>
      </w:r>
    </w:p>
    <w:p w14:paraId="0D649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'最不推荐: %s\n权重: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...</w:t>
      </w:r>
    </w:p>
    <w:p w14:paraId="4209B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alternatives{sorted_indices(end)}, sorted_weights(end))];</w:t>
      </w:r>
    </w:p>
    <w:p w14:paraId="40593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添加详细分析</w:t>
      </w:r>
    </w:p>
    <w:p w14:paraId="486AC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'详细分析:\n'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)];</w:t>
      </w:r>
    </w:p>
    <w:p w14:paraId="139904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'- 跟导师读博在学术发展和个人兴趣匹配方面优势明显\n'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)];</w:t>
      </w:r>
    </w:p>
    <w:p w14:paraId="46290C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'- 出国留学在学术发展方面也有较好表现\n'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)];</w:t>
      </w:r>
    </w:p>
    <w:p w14:paraId="1ADB2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'- 创业在经济收益方面得分最高\n'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)];</w:t>
      </w:r>
    </w:p>
    <w:p w14:paraId="62CF1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text_str = [text_str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'- 考公务员在工作生活平衡方面表现较好\n\n'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)];</w:t>
      </w:r>
    </w:p>
    <w:p w14:paraId="47DA9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text(0.1, 0.5, text_str,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10,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'VerticalAlignment'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'middle'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363A8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sgtitle(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'自动化强基计划学生毕业去向AHP分析结果'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14,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18"/>
          <w:szCs w:val="18"/>
          <w:lang w:val="en-US" w:eastAsia="zh-CN" w:bidi="ar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);</w:t>
      </w:r>
    </w:p>
    <w:p w14:paraId="74625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18"/>
          <w:szCs w:val="18"/>
          <w:lang w:val="en-US" w:eastAsia="zh-CN" w:bidi="ar"/>
        </w:rPr>
        <w:t>end</w:t>
      </w:r>
    </w:p>
    <w:p w14:paraId="2FA4F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</w:p>
    <w:p w14:paraId="770ECE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Consolas" w:hAnsi="Consolas" w:eastAsia="Consolas" w:cs="Consolas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18"/>
          <w:szCs w:val="18"/>
          <w:lang w:val="en-US" w:eastAsia="zh-CN" w:bidi="ar"/>
        </w:rPr>
        <w:t>% 运行分析</w:t>
      </w:r>
    </w:p>
    <w:p w14:paraId="6843F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18"/>
          <w:szCs w:val="18"/>
          <w:lang w:val="en-US" w:eastAsia="zh-CN" w:bidi="ar"/>
        </w:rPr>
        <w:t>ahp_graduation_decision();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CF521E"/>
    <w:rsid w:val="76840308"/>
    <w:rsid w:val="77A7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4147</Words>
  <Characters>8521</Characters>
  <Lines>0</Lines>
  <Paragraphs>0</Paragraphs>
  <TotalTime>37</TotalTime>
  <ScaleCrop>false</ScaleCrop>
  <LinksUpToDate>false</LinksUpToDate>
  <CharactersWithSpaces>9201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2025-10-28T07:51:00Z</dcterms:created>
  <dc:creator/>
  <cp:lastModifiedBy/>
  <dcterms:modified xsi:type="dcterms:W3CDTF">2025-10-28T08:32:33Z</dcterms:modified>
</cp:coreProperties>
</file>