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9CFA5" w14:textId="69F4119E">
      <w:pPr>
        <w:spacing w:before="480" w:after="480" w:line="288" w:lineRule="auto"/>
        <w:rPr>
          <w:rFonts w:ascii="宋体" w:eastAsia="宋体" w:hAnsi="宋体" w:hint="eastAsia"/>
          <w:sz w:val="20"/>
          <w:szCs w:val="22"/>
        </w:rPr>
      </w:pPr>
      <w:r>
        <w:rPr>
          <w:rFonts w:ascii="宋体" w:eastAsia="宋体" w:hAnsi="宋体" w:cs="Arial"/>
          <w:b/>
          <w:sz w:val="48"/>
          <w:szCs w:val="22"/>
        </w:rPr>
        <w:t>《数字化集成</w:t>
      </w:r>
      <w:r>
        <w:rPr>
          <w:rFonts w:ascii="宋体" w:eastAsia="宋体" w:hAnsi="宋体" w:cs="Arial" w:hint="eastAsia"/>
          <w:b/>
          <w:sz w:val="48"/>
          <w:szCs w:val="22"/>
        </w:rPr>
        <w:t>控制</w:t>
      </w:r>
      <w:r>
        <w:rPr>
          <w:rFonts w:ascii="宋体" w:eastAsia="宋体" w:hAnsi="宋体" w:cs="Arial"/>
          <w:b/>
          <w:sz w:val="48"/>
          <w:szCs w:val="22"/>
        </w:rPr>
        <w:t>系统》</w:t>
      </w:r>
      <w:r>
        <w:rPr>
          <w:rFonts w:ascii="宋体" w:eastAsia="宋体" w:hAnsi="宋体" w:cs="Arial" w:hint="eastAsia"/>
          <w:b/>
          <w:sz w:val="48"/>
          <w:szCs w:val="22"/>
        </w:rPr>
        <w:t>期末</w:t>
      </w:r>
      <w:r>
        <w:rPr>
          <w:rFonts w:ascii="宋体" w:eastAsia="宋体" w:hAnsi="宋体" w:cs="Arial"/>
          <w:b/>
          <w:sz w:val="48"/>
          <w:szCs w:val="22"/>
        </w:rPr>
        <w:t>报告模板</w:t>
      </w:r>
    </w:p>
    <w:p w14:paraId="14BFC2E3" w14:textId="77777777">
      <w:pPr>
        <w:spacing w:before="120" w:after="120" w:line="288" w:lineRule="auto"/>
        <w:rPr>
          <w:rFonts w:ascii="宋体" w:eastAsia="宋体" w:hAnsi="宋体" w:hint="eastAsia"/>
        </w:rPr>
      </w:pPr>
      <w:r>
        <w:rPr>
          <w:rFonts w:ascii="宋体" w:eastAsia="宋体" w:hAnsi="宋体" w:cs="Arial"/>
          <w:sz w:val="22"/>
        </w:rPr>
        <w:t>班级：__________ 姓名：__________ 学号：__________ 得分：__________</w:t>
      </w:r>
    </w:p>
    <w:p w14:paraId="1C9012F7" w14:textId="77777777">
      <w:pPr>
        <w:spacing w:before="320" w:after="120" w:line="288" w:lineRule="auto"/>
        <w:outlineLvl w:val="1"/>
        <w:rPr>
          <w:rFonts w:ascii="宋体" w:eastAsia="宋体" w:hAnsi="宋体" w:hint="eastAsia"/>
        </w:rPr>
      </w:pPr>
      <w:bookmarkStart w:id="0" w:name="heading_0"/>
      <w:r>
        <w:rPr>
          <w:rFonts w:ascii="宋体" w:eastAsia="宋体" w:hAnsi="宋体" w:cs="Arial"/>
          <w:b/>
          <w:sz w:val="32"/>
        </w:rPr>
        <w:t>目录</w:t>
      </w:r>
      <w:bookmarkEnd w:id="0"/>
    </w:p>
    <w:p w14:paraId="5E3450CA" w14:textId="6C7552B0">
      <w:pPr>
        <w:spacing w:before="120" w:after="120" w:line="288" w:lineRule="auto"/>
        <w:rPr>
          <w:rFonts w:ascii="宋体" w:eastAsia="宋体" w:hAnsi="宋体" w:hint="eastAsia"/>
        </w:rPr>
      </w:pPr>
      <w:r>
        <w:rPr>
          <w:rFonts w:ascii="宋体" w:eastAsia="宋体" w:hAnsi="宋体" w:cs="Arial"/>
          <w:sz w:val="22"/>
        </w:rPr>
        <w:t>摘要与关键词</w:t>
      </w:r>
    </w:p>
    <w:p w14:paraId="180C4507" w14:textId="3DD5BDA2">
      <w:pPr>
        <w:spacing w:before="120" w:after="120" w:line="288" w:lineRule="auto"/>
        <w:rPr>
          <w:rFonts w:ascii="宋体" w:eastAsia="宋体" w:hAnsi="宋体" w:hint="eastAsia"/>
        </w:rPr>
      </w:pPr>
      <w:r>
        <w:rPr>
          <w:rFonts w:ascii="宋体" w:eastAsia="宋体" w:hAnsi="宋体" w:cs="Arial"/>
          <w:sz w:val="22"/>
        </w:rPr>
        <w:t>1 系统总体方案设计</w:t>
      </w:r>
    </w:p>
    <w:p w14:paraId="29C0E9BF" w14:textId="77777777">
      <w:pPr>
        <w:spacing w:before="120" w:after="120" w:line="288" w:lineRule="auto"/>
        <w:rPr>
          <w:rFonts w:ascii="宋体" w:eastAsia="宋体" w:hAnsi="宋体" w:hint="eastAsia"/>
        </w:rPr>
      </w:pPr>
      <w:r>
        <w:rPr>
          <w:rFonts w:ascii="宋体" w:eastAsia="宋体" w:hAnsi="宋体" w:cs="Arial"/>
          <w:sz w:val="22"/>
        </w:rPr>
        <w:t>1.1 系统需求分析</w:t>
      </w:r>
    </w:p>
    <w:p w14:paraId="68D413CF" w14:textId="77777777">
      <w:pPr>
        <w:spacing w:before="120" w:after="120" w:line="288" w:lineRule="auto"/>
        <w:rPr>
          <w:rFonts w:ascii="宋体" w:eastAsia="宋体" w:hAnsi="宋体" w:hint="eastAsia"/>
        </w:rPr>
      </w:pPr>
      <w:r>
        <w:rPr>
          <w:rFonts w:ascii="宋体" w:eastAsia="宋体" w:hAnsi="宋体" w:cs="Arial"/>
          <w:sz w:val="22"/>
        </w:rPr>
        <w:t>1.2 系统硬件与软件架构设计</w:t>
      </w:r>
    </w:p>
    <w:p w14:paraId="2B08DAB8" w14:textId="1A997B18">
      <w:pPr>
        <w:spacing w:before="120" w:after="120" w:line="288" w:lineRule="auto"/>
        <w:rPr>
          <w:rFonts w:ascii="宋体" w:eastAsia="宋体" w:hAnsi="宋体" w:hint="eastAsia"/>
        </w:rPr>
      </w:pPr>
      <w:r>
        <w:rPr>
          <w:rFonts w:ascii="宋体" w:eastAsia="宋体" w:hAnsi="宋体" w:cs="Arial"/>
          <w:sz w:val="22"/>
        </w:rPr>
        <w:t>2 基础控制原理与概念</w:t>
      </w:r>
    </w:p>
    <w:p w14:paraId="0DBB9B9D" w14:textId="77777777">
      <w:pPr>
        <w:spacing w:before="120" w:after="120" w:line="288" w:lineRule="auto"/>
        <w:rPr>
          <w:rFonts w:ascii="宋体" w:eastAsia="宋体" w:hAnsi="宋体" w:hint="eastAsia"/>
        </w:rPr>
      </w:pPr>
      <w:r>
        <w:rPr>
          <w:rFonts w:ascii="宋体" w:eastAsia="宋体" w:hAnsi="宋体" w:cs="Arial"/>
          <w:sz w:val="22"/>
        </w:rPr>
        <w:t>2.1 电机运动控制基础概念</w:t>
      </w:r>
    </w:p>
    <w:p w14:paraId="714D968C" w14:textId="77777777">
      <w:pPr>
        <w:spacing w:before="120" w:after="120" w:line="288" w:lineRule="auto"/>
        <w:rPr>
          <w:rFonts w:ascii="宋体" w:eastAsia="宋体" w:hAnsi="宋体" w:hint="eastAsia"/>
        </w:rPr>
      </w:pPr>
      <w:r>
        <w:rPr>
          <w:rFonts w:ascii="宋体" w:eastAsia="宋体" w:hAnsi="宋体" w:cs="Arial"/>
          <w:sz w:val="22"/>
        </w:rPr>
        <w:t>2.2 PID控制理论基础</w:t>
      </w:r>
    </w:p>
    <w:p w14:paraId="489561C2" w14:textId="0630B7D1">
      <w:pPr>
        <w:spacing w:before="120" w:after="120" w:line="288" w:lineRule="auto"/>
        <w:rPr>
          <w:rFonts w:ascii="宋体" w:eastAsia="宋体" w:hAnsi="宋体" w:hint="eastAsia"/>
        </w:rPr>
      </w:pPr>
      <w:r>
        <w:rPr>
          <w:rFonts w:ascii="宋体" w:eastAsia="宋体" w:hAnsi="宋体" w:cs="Arial"/>
          <w:sz w:val="22"/>
        </w:rPr>
        <w:t xml:space="preserve">3 </w:t>
      </w:r>
      <w:r>
        <w:rPr>
          <w:rFonts w:ascii="宋体" w:eastAsia="宋体" w:hAnsi="宋体" w:cs="Arial" w:hint="eastAsia"/>
          <w:sz w:val="22"/>
        </w:rPr>
        <w:t>控制方案设计</w:t>
      </w:r>
    </w:p>
    <w:p w14:paraId="25D434B5" w14:textId="4AC14E71">
      <w:pPr>
        <w:spacing w:before="120" w:after="120" w:line="288" w:lineRule="auto"/>
        <w:rPr>
          <w:rFonts w:ascii="宋体" w:eastAsia="宋体" w:hAnsi="宋体" w:hint="eastAsia"/>
        </w:rPr>
      </w:pPr>
      <w:r>
        <w:rPr>
          <w:rFonts w:ascii="宋体" w:eastAsia="宋体" w:hAnsi="宋体" w:cs="Arial"/>
          <w:sz w:val="22"/>
        </w:rPr>
        <w:t>3.1 定位跑控制方案</w:t>
      </w:r>
      <w:r>
        <w:rPr>
          <w:rFonts w:ascii="宋体" w:eastAsia="宋体" w:hAnsi="宋体" w:cs="Arial" w:hint="eastAsia"/>
          <w:sz w:val="22"/>
        </w:rPr>
        <w:t>与理论要点</w:t>
      </w:r>
    </w:p>
    <w:p w14:paraId="58F6C670" w14:textId="124A4C0A">
      <w:pPr>
        <w:spacing w:before="120" w:after="120" w:line="288" w:lineRule="auto"/>
        <w:rPr>
          <w:rFonts w:ascii="宋体" w:eastAsia="宋体" w:hAnsi="宋体" w:hint="eastAsia"/>
        </w:rPr>
      </w:pPr>
      <w:r>
        <w:rPr>
          <w:rFonts w:ascii="宋体" w:eastAsia="宋体" w:hAnsi="宋体" w:cs="Arial"/>
          <w:sz w:val="22"/>
        </w:rPr>
        <w:t>3.2 折返跑控制方案</w:t>
      </w:r>
      <w:r>
        <w:rPr>
          <w:rFonts w:ascii="宋体" w:eastAsia="宋体" w:hAnsi="宋体" w:cs="Arial" w:hint="eastAsia"/>
          <w:sz w:val="22"/>
        </w:rPr>
        <w:t>与理论要点</w:t>
      </w:r>
    </w:p>
    <w:p w14:paraId="0E27A9DB" w14:textId="4811C1D3">
      <w:pPr>
        <w:spacing w:before="120" w:after="120" w:line="288" w:lineRule="auto"/>
        <w:rPr>
          <w:rFonts w:ascii="宋体" w:eastAsia="宋体" w:hAnsi="宋体" w:hint="eastAsia"/>
        </w:rPr>
      </w:pPr>
      <w:r>
        <w:rPr>
          <w:rFonts w:ascii="宋体" w:eastAsia="宋体" w:hAnsi="宋体" w:cs="Arial"/>
          <w:sz w:val="22"/>
        </w:rPr>
        <w:t>3.3 跨栏跑控制方案</w:t>
      </w:r>
      <w:r>
        <w:rPr>
          <w:rFonts w:ascii="宋体" w:eastAsia="宋体" w:hAnsi="宋体" w:cs="Arial" w:hint="eastAsia"/>
          <w:sz w:val="22"/>
        </w:rPr>
        <w:t>与理论要点</w:t>
      </w:r>
    </w:p>
    <w:p w14:paraId="53E1B2B6" w14:textId="77777777">
      <w:pPr>
        <w:spacing w:before="120" w:after="120" w:line="288" w:lineRule="auto"/>
        <w:rPr>
          <w:rFonts w:ascii="宋体" w:eastAsia="宋体" w:hAnsi="宋体" w:hint="eastAsia"/>
        </w:rPr>
      </w:pPr>
      <w:r>
        <w:rPr>
          <w:rFonts w:ascii="宋体" w:eastAsia="宋体" w:hAnsi="宋体" w:cs="Arial"/>
          <w:sz w:val="22"/>
        </w:rPr>
        <w:t xml:space="preserve">3.4 </w:t>
      </w:r>
      <w:r>
        <w:rPr>
          <w:rFonts w:ascii="宋体" w:eastAsia="宋体" w:hAnsi="宋体" w:cs="Arial" w:hint="eastAsia"/>
          <w:sz w:val="22"/>
        </w:rPr>
        <w:t>其他选做题目</w:t>
      </w:r>
    </w:p>
    <w:p w14:paraId="5F9E3208" w14:textId="77777777">
      <w:pPr>
        <w:spacing w:before="120" w:after="120" w:line="288" w:lineRule="auto"/>
        <w:rPr>
          <w:rFonts w:ascii="宋体" w:eastAsia="宋体" w:hAnsi="宋体" w:hint="eastAsia"/>
        </w:rPr>
      </w:pPr>
      <w:r>
        <w:rPr>
          <w:rFonts w:ascii="宋体" w:eastAsia="宋体" w:hAnsi="宋体" w:cs="Arial"/>
          <w:sz w:val="22"/>
        </w:rPr>
        <w:t>总结与</w:t>
      </w:r>
      <w:r>
        <w:rPr>
          <w:rFonts w:ascii="宋体" w:eastAsia="宋体" w:hAnsi="宋体" w:cs="Arial" w:hint="eastAsia"/>
          <w:sz w:val="22"/>
        </w:rPr>
        <w:t>展望</w:t>
      </w:r>
    </w:p>
    <w:p w14:paraId="7974F8FD" w14:textId="7B50A385">
      <w:pPr>
        <w:spacing w:before="120" w:after="120" w:line="288" w:lineRule="auto"/>
        <w:rPr>
          <w:rFonts w:ascii="宋体" w:eastAsia="宋体" w:hAnsi="宋体" w:hint="eastAsia"/>
        </w:rPr>
      </w:pPr>
      <w:r>
        <w:rPr>
          <w:rFonts w:ascii="宋体" w:eastAsia="宋体" w:hAnsi="宋体" w:cs="Arial"/>
          <w:sz w:val="22"/>
        </w:rPr>
        <w:t>参考文献</w:t>
      </w:r>
    </w:p>
    <w:p w14:paraId="1B3A660D" w14:textId="710D3033">
      <w:pPr>
        <w:spacing w:before="120" w:after="120" w:line="288" w:lineRule="auto"/>
        <w:rPr>
          <w:rFonts w:ascii="宋体" w:eastAsia="宋体" w:hAnsi="宋体" w:cs="Arial" w:hint="eastAsia"/>
          <w:sz w:val="22"/>
        </w:rPr>
      </w:pPr>
    </w:p>
    <w:p w14:paraId="21FEFAE2" w14:textId="4DEB685F">
      <w:pPr>
        <w:spacing w:before="120" w:after="120" w:line="288" w:lineRule="auto"/>
        <w:rPr>
          <w:rFonts w:ascii="宋体" w:eastAsia="宋体" w:hAnsi="宋体" w:cs="Arial" w:hint="eastAsia"/>
          <w:sz w:val="22"/>
        </w:rPr>
      </w:pPr>
    </w:p>
    <w:p w14:paraId="5B0FEE29" w14:textId="0D307915">
      <w:pPr>
        <w:spacing w:before="120" w:after="120" w:line="288" w:lineRule="auto"/>
        <w:rPr>
          <w:rFonts w:ascii="宋体" w:eastAsia="宋体" w:hAnsi="宋体" w:cs="Arial" w:hint="eastAsia"/>
          <w:sz w:val="22"/>
        </w:rPr>
      </w:pPr>
    </w:p>
    <w:p w14:paraId="17A1DA78" w14:textId="3746FE24">
      <w:pPr>
        <w:spacing w:before="120" w:after="120" w:line="288" w:lineRule="auto"/>
        <w:rPr>
          <w:rFonts w:ascii="宋体" w:eastAsia="宋体" w:hAnsi="宋体" w:cs="Arial" w:hint="eastAsia"/>
          <w:sz w:val="22"/>
        </w:rPr>
      </w:pPr>
    </w:p>
    <w:p w14:paraId="39908F08" w14:textId="79CC0B95">
      <w:pPr>
        <w:spacing w:before="120" w:after="120" w:line="288" w:lineRule="auto"/>
        <w:rPr>
          <w:rFonts w:ascii="宋体" w:eastAsia="宋体" w:hAnsi="宋体" w:cs="Arial" w:hint="eastAsia"/>
          <w:sz w:val="22"/>
        </w:rPr>
      </w:pPr>
    </w:p>
    <w:p w14:paraId="23E53FA1" w14:textId="2CC6B791">
      <w:pPr>
        <w:spacing w:before="120" w:after="120" w:line="288" w:lineRule="auto"/>
        <w:rPr>
          <w:rFonts w:ascii="宋体" w:eastAsia="宋体" w:hAnsi="宋体" w:cs="Arial" w:hint="eastAsia"/>
          <w:sz w:val="22"/>
        </w:rPr>
      </w:pPr>
    </w:p>
    <w:p w14:paraId="5E7CF25E" w14:textId="77777777">
      <w:pPr>
        <w:spacing w:before="120" w:after="120" w:line="288" w:lineRule="auto"/>
        <w:rPr>
          <w:rFonts w:ascii="宋体" w:eastAsia="宋体" w:hAnsi="宋体" w:cs="Arial" w:hint="eastAsia"/>
          <w:sz w:val="22"/>
        </w:rPr>
      </w:pPr>
    </w:p>
    <w:p w14:paraId="6A64A4BE" w14:textId="2862AA50">
      <w:pPr>
        <w:spacing w:before="120" w:after="120" w:line="288" w:lineRule="auto"/>
        <w:rPr>
          <w:rFonts w:ascii="宋体" w:eastAsia="宋体" w:hAnsi="宋体" w:hint="eastAsia"/>
        </w:rPr>
      </w:pPr>
    </w:p>
    <w:p w14:paraId="6C2C8066" w14:textId="77777777">
      <w:pPr>
        <w:spacing w:before="120" w:after="120" w:line="288" w:lineRule="auto"/>
        <w:rPr>
          <w:rFonts w:ascii="宋体" w:eastAsia="宋体" w:hAnsi="宋体" w:hint="eastAsia"/>
        </w:rPr>
      </w:pPr>
    </w:p>
    <w:p w14:paraId="4C013B48" w14:textId="3EC3D5CE">
      <w:pPr>
        <w:spacing w:before="320" w:after="120" w:line="288" w:lineRule="auto"/>
        <w:outlineLvl w:val="1"/>
        <w:rPr>
          <w:rFonts w:ascii="宋体" w:eastAsia="宋体" w:hAnsi="宋体" w:hint="eastAsia"/>
        </w:rPr>
      </w:pPr>
      <w:bookmarkStart w:id="1" w:name="heading_1"/>
      <w:r>
        <w:rPr>
          <w:rFonts w:ascii="宋体" w:eastAsia="宋体" w:hAnsi="宋体" w:cs="Arial"/>
          <w:b/>
          <w:sz w:val="32"/>
        </w:rPr>
        <w:lastRenderedPageBreak/>
        <w:t>一、摘要与关键词</w:t>
      </w:r>
      <w:bookmarkEnd w:id="1"/>
    </w:p>
    <w:p w14:paraId="664C2919" w14:textId="640F6F94">
      <w:pPr>
        <w:spacing w:before="120" w:after="120" w:line="288" w:lineRule="auto"/>
        <w:rPr>
          <w:rFonts w:ascii="宋体" w:eastAsia="宋体" w:hAnsi="宋体" w:hint="eastAsia"/>
        </w:rPr>
      </w:pPr>
      <w:r>
        <w:rPr>
          <w:rFonts w:ascii="宋体" w:eastAsia="宋体" w:hAnsi="宋体" w:cs="Arial"/>
          <w:b/>
          <w:sz w:val="22"/>
        </w:rPr>
        <w:t>摘要</w:t>
      </w:r>
      <w:r>
        <w:rPr>
          <w:rFonts w:ascii="宋体" w:eastAsia="宋体" w:hAnsi="宋体" w:cs="Arial" w:hint="eastAsia"/>
          <w:sz w:val="22"/>
        </w:rPr>
        <w:t>：</w:t>
      </w:r>
      <w:r>
        <w:rPr>
          <w:rFonts w:ascii="宋体" w:eastAsia="宋体" w:hAnsi="宋体" w:cs="Arial" w:hint="eastAsia"/>
          <w:sz w:val="22"/>
        </w:rPr>
        <w:t>3</w:t>
      </w:r>
      <w:r>
        <w:rPr>
          <w:rFonts w:ascii="宋体" w:eastAsia="宋体" w:hAnsi="宋体" w:cs="Arial"/>
          <w:sz w:val="22"/>
        </w:rPr>
        <w:t>00</w:t>
      </w:r>
      <w:r>
        <w:rPr>
          <w:rFonts w:ascii="宋体" w:eastAsia="宋体" w:hAnsi="宋体" w:cs="Arial" w:hint="eastAsia"/>
          <w:sz w:val="22"/>
        </w:rPr>
        <w:t>字以内。</w:t>
      </w:r>
    </w:p>
    <w:p w14:paraId="12D18C29" w14:textId="33BFCB42">
      <w:pPr>
        <w:spacing w:before="120" w:after="120" w:line="288" w:lineRule="auto"/>
        <w:rPr>
          <w:rFonts w:ascii="宋体" w:eastAsia="宋体" w:hAnsi="宋体" w:hint="eastAsia"/>
        </w:rPr>
      </w:pPr>
      <w:r>
        <w:rPr>
          <w:rFonts w:ascii="宋体" w:eastAsia="宋体" w:hAnsi="宋体" w:cs="Arial"/>
          <w:b/>
          <w:sz w:val="22"/>
        </w:rPr>
        <w:t>关键词</w:t>
      </w:r>
      <w:r>
        <w:rPr>
          <w:rFonts w:ascii="宋体" w:eastAsia="宋体" w:hAnsi="宋体" w:cs="Arial"/>
          <w:sz w:val="22"/>
        </w:rPr>
        <w:t>：</w:t>
      </w:r>
      <w:r>
        <w:rPr>
          <w:rFonts w:ascii="宋体" w:eastAsia="宋体" w:hAnsi="宋体" w:cs="Arial" w:hint="eastAsia"/>
          <w:sz w:val="22"/>
        </w:rPr>
        <w:t>分号分隔，3</w:t>
      </w:r>
      <w:r>
        <w:rPr>
          <w:rFonts w:ascii="宋体" w:eastAsia="宋体" w:hAnsi="宋体" w:cs="Arial"/>
          <w:sz w:val="22"/>
        </w:rPr>
        <w:t>-5</w:t>
      </w:r>
      <w:r>
        <w:rPr>
          <w:rFonts w:ascii="宋体" w:eastAsia="宋体" w:hAnsi="宋体" w:cs="Arial" w:hint="eastAsia"/>
          <w:sz w:val="22"/>
        </w:rPr>
        <w:t>个。</w:t>
      </w:r>
    </w:p>
    <w:p w14:paraId="0BFABFD6" w14:textId="43FA7DB7">
      <w:pPr>
        <w:spacing w:before="320" w:after="120" w:line="288" w:lineRule="auto"/>
        <w:outlineLvl w:val="1"/>
        <w:rPr>
          <w:rFonts w:ascii="宋体" w:eastAsia="宋体" w:hAnsi="宋体" w:hint="eastAsia"/>
        </w:rPr>
      </w:pPr>
      <w:bookmarkStart w:id="2" w:name="heading_2"/>
      <w:r>
        <w:rPr>
          <w:rFonts w:ascii="宋体" w:eastAsia="宋体" w:hAnsi="宋体" w:cs="Arial"/>
          <w:b/>
          <w:sz w:val="32"/>
        </w:rPr>
        <w:t>1 系统总体方案设计</w:t>
      </w:r>
      <w:bookmarkEnd w:id="2"/>
    </w:p>
    <w:p w14:paraId="2D9E3E66" w14:textId="77777777">
      <w:pPr>
        <w:spacing w:before="300" w:after="120" w:line="288" w:lineRule="auto"/>
        <w:outlineLvl w:val="2"/>
        <w:rPr>
          <w:rFonts w:ascii="宋体" w:eastAsia="宋体" w:hAnsi="宋体" w:hint="eastAsia"/>
        </w:rPr>
      </w:pPr>
      <w:bookmarkStart w:id="3" w:name="heading_3"/>
      <w:r>
        <w:rPr>
          <w:rFonts w:ascii="宋体" w:eastAsia="宋体" w:hAnsi="宋体" w:cs="Arial"/>
          <w:b/>
          <w:sz w:val="30"/>
        </w:rPr>
        <w:t>1.1 系统需求分析</w:t>
      </w:r>
      <w:bookmarkEnd w:id="3"/>
    </w:p>
    <w:p w14:paraId="08515571" w14:textId="0BD1C2A2">
      <w:pPr>
        <w:pStyle w:val="a3"/>
        <w:numPr>
          <w:ilvl w:val="0"/>
          <w:numId w:val="21"/>
        </w:numPr>
        <w:spacing w:before="120" w:after="120" w:line="288" w:lineRule="auto"/>
        <w:ind w:firstLineChars="0"/>
        <w:rPr>
          <w:rFonts w:ascii="宋体" w:eastAsia="宋体" w:hAnsi="宋体" w:cs="Arial" w:hint="eastAsia"/>
          <w:color w:val="FF0000"/>
          <w:sz w:val="22"/>
        </w:rPr>
      </w:pPr>
      <w:r>
        <w:rPr>
          <w:rFonts w:ascii="宋体" w:eastAsia="宋体" w:hAnsi="宋体" w:cs="Arial" w:hint="eastAsia"/>
          <w:color w:val="FF0000"/>
          <w:sz w:val="22"/>
        </w:rPr>
        <w:t>请</w:t>
      </w:r>
      <w:r>
        <w:rPr>
          <w:rFonts w:ascii="宋体" w:eastAsia="宋体" w:hAnsi="宋体" w:cs="Arial"/>
          <w:color w:val="FF0000"/>
          <w:sz w:val="22"/>
        </w:rPr>
        <w:t>结合</w:t>
      </w:r>
      <w:r>
        <w:rPr>
          <w:rFonts w:ascii="宋体" w:eastAsia="宋体" w:hAnsi="宋体" w:cs="Arial" w:hint="eastAsia"/>
          <w:color w:val="FF0000"/>
          <w:sz w:val="22"/>
        </w:rPr>
        <w:t>选做实验内容，阐述系统需求。</w:t>
      </w:r>
    </w:p>
    <w:p w14:paraId="0D9AB1A5" w14:textId="7129069C">
      <w:pPr>
        <w:spacing w:before="120" w:after="120" w:line="288" w:lineRule="auto"/>
        <w:ind w:firstLineChars="200" w:firstLine="440"/>
        <w:rPr>
          <w:rFonts w:ascii="宋体" w:eastAsia="宋体" w:hAnsi="宋体" w:hint="eastAsia"/>
          <w:color w:val="7F7F7F" w:themeColor="text1" w:themeTint="80"/>
        </w:rPr>
      </w:pPr>
      <w:r>
        <w:rPr>
          <w:rFonts w:ascii="宋体" w:eastAsia="宋体" w:hAnsi="宋体" w:cs="Arial" w:hint="eastAsia"/>
          <w:color w:val="7F7F7F" w:themeColor="text1" w:themeTint="80"/>
          <w:sz w:val="22"/>
        </w:rPr>
        <w:t>例如：</w:t>
      </w:r>
      <w:r>
        <w:rPr>
          <w:rFonts w:ascii="宋体" w:eastAsia="宋体" w:hAnsi="宋体" w:cs="Arial"/>
          <w:color w:val="7F7F7F" w:themeColor="text1" w:themeTint="80"/>
          <w:sz w:val="22"/>
        </w:rPr>
        <w:t>（1）基础运动需求：实现电机的定位控制（指定圈数精准停止）、往复折返控制（多折返点切换方向）、变速控制（多位置切换速度），确保运动过程平稳、无明显冲击，定位精度满足实验要求。（2）交互需求：通过HMI（人机界面）的数值输入控件，实现对电机运行参数的可配置，包括定位跑的目标圈数、折返跑的折返点坐标、跨栏跑的速度切换位置与对应速度，参数输入后可实时生效，便于灵活调整运动模式。（3）性能需求：系统运行稳定，定位无震荡、无明显超调；响应速度快，参数调整后电机能快速响应指令；抗干扰能力强，能有效抑制编码器脉冲干扰、电磁干扰对系统的影响。</w:t>
      </w:r>
    </w:p>
    <w:p w14:paraId="4200C67B" w14:textId="77777777">
      <w:pPr>
        <w:pStyle w:val="a3"/>
        <w:numPr>
          <w:ilvl w:val="0"/>
          <w:numId w:val="21"/>
        </w:numPr>
        <w:spacing w:before="120" w:after="120" w:line="288" w:lineRule="auto"/>
        <w:ind w:firstLineChars="0"/>
        <w:rPr>
          <w:rFonts w:ascii="宋体" w:eastAsia="宋体" w:hAnsi="宋体" w:cs="Arial" w:hint="eastAsia"/>
          <w:color w:val="FF0000"/>
          <w:sz w:val="22"/>
        </w:rPr>
      </w:pPr>
      <w:r>
        <w:rPr>
          <w:rFonts w:ascii="宋体" w:eastAsia="宋体" w:hAnsi="宋体" w:cs="Arial" w:hint="eastAsia"/>
          <w:color w:val="FF0000"/>
          <w:sz w:val="22"/>
        </w:rPr>
        <w:t>请</w:t>
      </w:r>
      <w:r>
        <w:rPr>
          <w:rFonts w:ascii="宋体" w:eastAsia="宋体" w:hAnsi="宋体" w:cs="Arial"/>
          <w:color w:val="FF0000"/>
          <w:sz w:val="22"/>
        </w:rPr>
        <w:t>结合</w:t>
      </w:r>
      <w:r>
        <w:rPr>
          <w:rFonts w:ascii="宋体" w:eastAsia="宋体" w:hAnsi="宋体" w:cs="Arial" w:hint="eastAsia"/>
          <w:color w:val="FF0000"/>
          <w:sz w:val="22"/>
        </w:rPr>
        <w:t>选做实验内容，</w:t>
      </w:r>
      <w:r>
        <w:rPr>
          <w:rFonts w:ascii="宋体" w:eastAsia="宋体" w:hAnsi="宋体" w:cs="Arial"/>
          <w:color w:val="FF0000"/>
          <w:sz w:val="22"/>
        </w:rPr>
        <w:t>明确系统核心技术指标</w:t>
      </w:r>
      <w:r>
        <w:rPr>
          <w:rFonts w:ascii="宋体" w:eastAsia="宋体" w:hAnsi="宋体" w:cs="Arial" w:hint="eastAsia"/>
          <w:color w:val="FF0000"/>
          <w:sz w:val="22"/>
        </w:rPr>
        <w:t>。</w:t>
      </w:r>
    </w:p>
    <w:p w14:paraId="029DAD29" w14:textId="44F339E4">
      <w:pPr>
        <w:spacing w:before="120" w:after="120" w:line="288" w:lineRule="auto"/>
        <w:ind w:firstLineChars="200" w:firstLine="440"/>
        <w:rPr>
          <w:rFonts w:ascii="宋体" w:eastAsia="宋体" w:hAnsi="宋体" w:hint="eastAsia"/>
          <w:color w:val="7F7F7F" w:themeColor="text1" w:themeTint="80"/>
        </w:rPr>
      </w:pPr>
      <w:r>
        <w:rPr>
          <w:rFonts w:ascii="宋体" w:eastAsia="宋体" w:hAnsi="宋体" w:cs="Arial" w:hint="eastAsia"/>
          <w:color w:val="7F7F7F" w:themeColor="text1" w:themeTint="80"/>
          <w:sz w:val="22"/>
        </w:rPr>
        <w:t>例如</w:t>
      </w:r>
      <w:r>
        <w:rPr>
          <w:rFonts w:ascii="宋体" w:eastAsia="宋体" w:hAnsi="宋体" w:cs="Arial"/>
          <w:color w:val="7F7F7F" w:themeColor="text1" w:themeTint="80"/>
          <w:sz w:val="22"/>
        </w:rPr>
        <w:t>：编码器分辨率为1000线，四倍频后脉冲数为4000脉冲/圈；电机额定转速为1500r/min；定位控制精度不低于±1脉冲；系统响应时间不超过0.5s；HMI参数输入范围为0-10圈（位置）、0-1000r/min（速度）。</w:t>
      </w:r>
    </w:p>
    <w:p w14:paraId="7608A36E" w14:textId="77777777">
      <w:pPr>
        <w:spacing w:before="300" w:after="120" w:line="288" w:lineRule="auto"/>
        <w:outlineLvl w:val="2"/>
        <w:rPr>
          <w:rFonts w:ascii="宋体" w:eastAsia="宋体" w:hAnsi="宋体" w:hint="eastAsia"/>
        </w:rPr>
      </w:pPr>
      <w:bookmarkStart w:id="4" w:name="heading_4"/>
      <w:r>
        <w:rPr>
          <w:rFonts w:ascii="宋体" w:eastAsia="宋体" w:hAnsi="宋体" w:cs="Arial"/>
          <w:b/>
          <w:sz w:val="30"/>
        </w:rPr>
        <w:t>1.2 系统硬件与软件架构设计</w:t>
      </w:r>
      <w:bookmarkEnd w:id="4"/>
    </w:p>
    <w:p w14:paraId="4472B33E" w14:textId="77777777">
      <w:pPr>
        <w:spacing w:before="120" w:after="120" w:line="288" w:lineRule="auto"/>
        <w:rPr>
          <w:rFonts w:ascii="宋体" w:eastAsia="宋体" w:hAnsi="宋体" w:hint="eastAsia"/>
        </w:rPr>
      </w:pPr>
      <w:r>
        <w:rPr>
          <w:rFonts w:ascii="宋体" w:eastAsia="宋体" w:hAnsi="宋体" w:cs="Arial"/>
          <w:sz w:val="22"/>
        </w:rPr>
        <w:t>1.2.1 硬件架构设计</w:t>
      </w:r>
    </w:p>
    <w:p w14:paraId="45C19C67" w14:textId="3019CC53">
      <w:pPr>
        <w:pStyle w:val="a3"/>
        <w:numPr>
          <w:ilvl w:val="0"/>
          <w:numId w:val="21"/>
        </w:numPr>
        <w:spacing w:before="120" w:after="120" w:line="288" w:lineRule="auto"/>
        <w:ind w:firstLineChars="0"/>
        <w:rPr>
          <w:rFonts w:ascii="宋体" w:eastAsia="宋体" w:hAnsi="宋体" w:cs="Arial" w:hint="eastAsia"/>
          <w:color w:val="FF0000"/>
          <w:sz w:val="22"/>
        </w:rPr>
      </w:pPr>
      <w:r>
        <w:rPr>
          <w:rFonts w:ascii="宋体" w:eastAsia="宋体" w:hAnsi="宋体" w:cs="Arial" w:hint="eastAsia"/>
          <w:color w:val="FF0000"/>
          <w:sz w:val="22"/>
        </w:rPr>
        <w:t>请绘制</w:t>
      </w:r>
      <w:r>
        <w:rPr>
          <w:rFonts w:ascii="宋体" w:eastAsia="宋体" w:hAnsi="宋体" w:cs="Arial"/>
          <w:color w:val="FF0000"/>
          <w:sz w:val="22"/>
        </w:rPr>
        <w:t>系统的硬件核心由PLC控制器、伺服电机、增量式编码器、HMI触摸屏、电机驱动器、电源模块组成，各部件通过特定接口连接，形成完整的控制闭环，硬件拓扑图（可手绘或插入Visio绘制图）</w:t>
      </w:r>
    </w:p>
    <w:p w14:paraId="7F531AE0" w14:textId="3EDBC83D">
      <w:pPr>
        <w:spacing w:before="120" w:after="120" w:line="288" w:lineRule="auto"/>
        <w:ind w:firstLineChars="200" w:firstLine="440"/>
        <w:rPr>
          <w:rFonts w:ascii="宋体" w:eastAsia="宋体" w:hAnsi="宋体" w:hint="eastAsia"/>
          <w:color w:val="7F7F7F" w:themeColor="text1" w:themeTint="80"/>
        </w:rPr>
      </w:pPr>
      <w:r>
        <w:rPr>
          <w:rFonts w:ascii="宋体" w:eastAsia="宋体" w:hAnsi="宋体" w:cs="Arial"/>
          <w:color w:val="7F7F7F" w:themeColor="text1" w:themeTint="80"/>
          <w:sz w:val="22"/>
        </w:rPr>
        <w:t>示例描述</w:t>
      </w:r>
      <w:r>
        <w:rPr>
          <w:rFonts w:ascii="宋体" w:eastAsia="宋体" w:hAnsi="宋体" w:cs="Arial"/>
          <w:color w:val="7F7F7F" w:themeColor="text1" w:themeTint="80"/>
          <w:sz w:val="22"/>
        </w:rPr>
        <w:t>：</w:t>
      </w:r>
    </w:p>
    <w:p w14:paraId="301FB0C3" w14:textId="77777777">
      <w:pPr>
        <w:spacing w:before="120" w:after="120" w:line="288" w:lineRule="auto"/>
        <w:ind w:firstLineChars="200" w:firstLine="440"/>
        <w:rPr>
          <w:rFonts w:ascii="宋体" w:eastAsia="宋体" w:hAnsi="宋体" w:hint="eastAsia"/>
          <w:color w:val="7F7F7F" w:themeColor="text1" w:themeTint="80"/>
        </w:rPr>
      </w:pPr>
      <w:r>
        <w:rPr>
          <w:rFonts w:ascii="宋体" w:eastAsia="宋体" w:hAnsi="宋体" w:cs="Arial"/>
          <w:color w:val="7F7F7F" w:themeColor="text1" w:themeTint="80"/>
          <w:sz w:val="22"/>
        </w:rPr>
        <w:t>核心部件连接关系：电源模块为PLC、电机驱动器、HMI提供稳定供电；增量式编码器的A/B相接口（I0.0/I0.1）连接至PLC的高速计数口，用于反馈电机实际运行位置；PLC的输出接口连接至电机驱动器，输出控制信号（转速、方向指令）；HMI通过RS485通信接口与PLC连接，实现参数输入与状态显示；电机驱动器与伺服电机连接，接收PLC指令驱动电机运行。</w:t>
      </w:r>
    </w:p>
    <w:p w14:paraId="1C05421A" w14:textId="06A2D706">
      <w:pPr>
        <w:spacing w:before="120" w:after="120" w:line="288" w:lineRule="auto"/>
        <w:ind w:firstLineChars="200" w:firstLine="440"/>
        <w:rPr>
          <w:rFonts w:ascii="宋体" w:eastAsia="宋体" w:hAnsi="宋体" w:hint="eastAsia"/>
          <w:color w:val="7F7F7F" w:themeColor="text1" w:themeTint="80"/>
        </w:rPr>
      </w:pPr>
      <w:r>
        <w:rPr>
          <w:rFonts w:ascii="宋体" w:eastAsia="宋体" w:hAnsi="宋体" w:cs="Arial"/>
          <w:color w:val="7F7F7F" w:themeColor="text1" w:themeTint="80"/>
          <w:sz w:val="22"/>
        </w:rPr>
        <w:t>关键部件参数说明：PLC选用西门子S7-1200系列，支持高速计数功能，高速计数器频率不低于100kHz；增量式编码器线数为1000线，采用A/B相正交编码，支持四倍频计数；伺服电机额定功率为1.5kW，额定转速1500r/min，具备位置反馈接口；HMI</w:t>
      </w:r>
      <w:r>
        <w:rPr>
          <w:rFonts w:ascii="宋体" w:eastAsia="宋体" w:hAnsi="宋体" w:cs="Arial"/>
          <w:color w:val="7F7F7F" w:themeColor="text1" w:themeTint="80"/>
          <w:sz w:val="22"/>
        </w:rPr>
        <w:lastRenderedPageBreak/>
        <w:t>选用7英寸触摸屏，支持数值输入、状态显示等功能。</w:t>
      </w:r>
    </w:p>
    <w:p w14:paraId="10C58F8D" w14:textId="77777777">
      <w:pPr>
        <w:spacing w:before="120" w:after="120" w:line="288" w:lineRule="auto"/>
        <w:rPr>
          <w:rFonts w:ascii="宋体" w:eastAsia="宋体" w:hAnsi="宋体" w:hint="eastAsia"/>
        </w:rPr>
      </w:pPr>
      <w:r>
        <w:rPr>
          <w:rFonts w:ascii="宋体" w:eastAsia="宋体" w:hAnsi="宋体" w:cs="Arial"/>
          <w:sz w:val="22"/>
        </w:rPr>
        <w:t>1.2.2 软件架构设计</w:t>
      </w:r>
    </w:p>
    <w:p w14:paraId="1128841A" w14:textId="77777777">
      <w:pPr>
        <w:pStyle w:val="a3"/>
        <w:numPr>
          <w:ilvl w:val="0"/>
          <w:numId w:val="21"/>
        </w:numPr>
        <w:spacing w:before="120" w:after="120" w:line="288" w:lineRule="auto"/>
        <w:ind w:firstLineChars="0"/>
        <w:rPr>
          <w:rFonts w:ascii="宋体" w:eastAsia="宋体" w:hAnsi="宋体" w:cs="Arial" w:hint="eastAsia"/>
          <w:color w:val="FF0000"/>
          <w:sz w:val="22"/>
        </w:rPr>
      </w:pPr>
      <w:r>
        <w:rPr>
          <w:rFonts w:ascii="宋体" w:eastAsia="宋体" w:hAnsi="宋体" w:cs="Arial" w:hint="eastAsia"/>
          <w:color w:val="FF0000"/>
          <w:sz w:val="22"/>
        </w:rPr>
        <w:t>请绘制</w:t>
      </w:r>
      <w:r>
        <w:rPr>
          <w:rFonts w:ascii="宋体" w:eastAsia="宋体" w:hAnsi="宋体" w:cs="Arial"/>
          <w:color w:val="FF0000"/>
          <w:sz w:val="22"/>
        </w:rPr>
        <w:t>主程序与子程序，软件流程框图</w:t>
      </w:r>
      <w:r>
        <w:rPr>
          <w:rFonts w:ascii="宋体" w:eastAsia="宋体" w:hAnsi="宋体" w:cs="Arial" w:hint="eastAsia"/>
          <w:color w:val="FF0000"/>
          <w:sz w:val="22"/>
        </w:rPr>
        <w:t>。</w:t>
      </w:r>
    </w:p>
    <w:p w14:paraId="18EB6116" w14:textId="6151EC52">
      <w:pPr>
        <w:spacing w:before="120" w:after="120" w:line="288" w:lineRule="auto"/>
        <w:ind w:firstLineChars="200" w:firstLine="440"/>
        <w:rPr>
          <w:rFonts w:ascii="宋体" w:eastAsia="宋体" w:hAnsi="宋体" w:hint="eastAsia"/>
          <w:color w:val="7F7F7F" w:themeColor="text1" w:themeTint="80"/>
        </w:rPr>
      </w:pPr>
      <w:r>
        <w:rPr>
          <w:rFonts w:ascii="宋体" w:eastAsia="宋体" w:hAnsi="宋体" w:cs="Arial"/>
          <w:color w:val="7F7F7F" w:themeColor="text1" w:themeTint="80"/>
          <w:sz w:val="22"/>
        </w:rPr>
        <w:t>示例描述：主程序框架：系统初始化→HMI参数读取与校验→运动模式判断→对应控制子程序调用→PID运算→输出驱动信号→编码器位置反馈→参数实时更新→运动结束判断。子程序划分：① 初始化子程序：完成PLC高速计数器配置、PID参数初始化、HMI变量绑定、电机驱动器参数初始化；② 高速计数子程序：接收编码器A/B相脉冲，完成脉冲计数与当前位置换算；③ PID运算子程序：实现单闭环/双闭环PID运算，输出控制量；④ 运动模式切换子程序：根据HMI参数或指令，切换定位跑、折返跑、跨栏跑等模式；⑤ HMI交互子程序：处理HMI参数输入、状态显示、异常报警等功能。</w:t>
      </w:r>
    </w:p>
    <w:p w14:paraId="39704BAA" w14:textId="662B4C0B">
      <w:pPr>
        <w:spacing w:before="320" w:after="120" w:line="288" w:lineRule="auto"/>
        <w:outlineLvl w:val="1"/>
        <w:rPr>
          <w:rFonts w:ascii="宋体" w:eastAsia="宋体" w:hAnsi="宋体" w:cs="Arial" w:hint="eastAsia"/>
          <w:b/>
          <w:sz w:val="32"/>
        </w:rPr>
      </w:pPr>
      <w:bookmarkStart w:id="5" w:name="heading_5"/>
      <w:r>
        <w:rPr>
          <w:rFonts w:ascii="宋体" w:eastAsia="宋体" w:hAnsi="宋体" w:cs="Arial"/>
          <w:b/>
          <w:sz w:val="32"/>
        </w:rPr>
        <w:t>2 基础控制原理与概念</w:t>
      </w:r>
      <w:bookmarkEnd w:id="5"/>
    </w:p>
    <w:p w14:paraId="26112DE5" w14:textId="3CA4E78F">
      <w:pPr>
        <w:pStyle w:val="a3"/>
        <w:numPr>
          <w:ilvl w:val="0"/>
          <w:numId w:val="21"/>
        </w:numPr>
        <w:ind w:firstLineChars="0"/>
        <w:rPr>
          <w:rFonts w:ascii="宋体" w:eastAsia="宋体" w:hAnsi="宋体" w:cs="Arial" w:hint="eastAsia"/>
          <w:color w:val="FF0000"/>
          <w:sz w:val="22"/>
        </w:rPr>
      </w:pPr>
      <w:bookmarkStart w:id="6" w:name="OLE_LINK1"/>
      <w:r>
        <w:rPr>
          <w:rFonts w:ascii="宋体" w:eastAsia="宋体" w:hAnsi="宋体" w:cs="Arial" w:hint="eastAsia"/>
          <w:color w:val="FF0000"/>
          <w:sz w:val="22"/>
        </w:rPr>
        <w:t>请阐述课程与实验涉及到的核心控制原理与概念，以下为示例</w:t>
      </w:r>
      <w:r>
        <w:rPr>
          <w:rFonts w:ascii="宋体" w:eastAsia="宋体" w:hAnsi="宋体" w:cs="Arial" w:hint="eastAsia"/>
          <w:color w:val="FF0000"/>
          <w:sz w:val="22"/>
        </w:rPr>
        <w:t>：</w:t>
      </w:r>
    </w:p>
    <w:p w14:paraId="2E351419" w14:textId="1FA7E36C">
      <w:pPr>
        <w:spacing w:before="300" w:after="120" w:line="288" w:lineRule="auto"/>
        <w:outlineLvl w:val="2"/>
        <w:rPr>
          <w:rFonts w:ascii="宋体" w:eastAsia="宋体" w:hAnsi="宋体" w:hint="eastAsia"/>
          <w:color w:val="7F7F7F" w:themeColor="text1" w:themeTint="80"/>
        </w:rPr>
      </w:pPr>
      <w:bookmarkStart w:id="7" w:name="heading_6"/>
      <w:bookmarkEnd w:id="6"/>
      <w:r>
        <w:rPr>
          <w:rFonts w:ascii="宋体" w:eastAsia="宋体" w:hAnsi="宋体" w:cs="Arial"/>
          <w:b/>
          <w:color w:val="7F7F7F" w:themeColor="text1" w:themeTint="80"/>
          <w:sz w:val="30"/>
        </w:rPr>
        <w:t>2.1 电机运动控制基础概念</w:t>
      </w:r>
      <w:bookmarkEnd w:id="7"/>
    </w:p>
    <w:p w14:paraId="18745A58" w14:textId="557615F4">
      <w:pPr>
        <w:spacing w:before="120" w:after="120" w:line="288" w:lineRule="auto"/>
        <w:rPr>
          <w:rFonts w:ascii="宋体" w:eastAsia="宋体" w:hAnsi="宋体" w:hint="eastAsia"/>
          <w:color w:val="7F7F7F" w:themeColor="text1" w:themeTint="80"/>
        </w:rPr>
      </w:pPr>
      <w:r>
        <w:rPr>
          <w:rFonts w:ascii="宋体" w:eastAsia="宋体" w:hAnsi="宋体" w:cs="Arial"/>
          <w:color w:val="7F7F7F" w:themeColor="text1" w:themeTint="80"/>
          <w:sz w:val="22"/>
        </w:rPr>
        <w:t>2.1.1 定位控制与闭环控制</w:t>
      </w:r>
    </w:p>
    <w:p w14:paraId="0DFAE5F2" w14:textId="77777777">
      <w:pPr>
        <w:spacing w:before="120" w:after="120" w:line="288" w:lineRule="auto"/>
        <w:rPr>
          <w:rFonts w:ascii="宋体" w:eastAsia="宋体" w:hAnsi="宋体" w:hint="eastAsia"/>
          <w:color w:val="7F7F7F" w:themeColor="text1" w:themeTint="80"/>
        </w:rPr>
      </w:pPr>
      <w:r>
        <w:rPr>
          <w:rFonts w:ascii="宋体" w:eastAsia="宋体" w:hAnsi="宋体" w:cs="Arial"/>
          <w:color w:val="7F7F7F" w:themeColor="text1" w:themeTint="80"/>
          <w:sz w:val="22"/>
        </w:rPr>
        <w:t>2.1.2 增量式编码器工作原理</w:t>
      </w:r>
    </w:p>
    <w:p w14:paraId="19E74830" w14:textId="77777777">
      <w:pPr>
        <w:spacing w:before="120" w:after="120" w:line="288" w:lineRule="auto"/>
        <w:rPr>
          <w:rFonts w:ascii="宋体" w:eastAsia="宋体" w:hAnsi="宋体" w:hint="eastAsia"/>
          <w:color w:val="7F7F7F" w:themeColor="text1" w:themeTint="80"/>
        </w:rPr>
      </w:pPr>
      <w:r>
        <w:rPr>
          <w:rFonts w:ascii="宋体" w:eastAsia="宋体" w:hAnsi="宋体" w:cs="Arial"/>
          <w:color w:val="7F7F7F" w:themeColor="text1" w:themeTint="80"/>
          <w:sz w:val="22"/>
        </w:rPr>
        <w:t>2.1.3 PLC高速计数器与HMI交互原理</w:t>
      </w:r>
    </w:p>
    <w:p w14:paraId="4A86F175" w14:textId="77777777">
      <w:pPr>
        <w:spacing w:before="300" w:after="120" w:line="288" w:lineRule="auto"/>
        <w:outlineLvl w:val="2"/>
        <w:rPr>
          <w:rFonts w:ascii="宋体" w:eastAsia="宋体" w:hAnsi="宋体" w:hint="eastAsia"/>
          <w:color w:val="7F7F7F" w:themeColor="text1" w:themeTint="80"/>
        </w:rPr>
      </w:pPr>
      <w:bookmarkStart w:id="8" w:name="heading_7"/>
      <w:r>
        <w:rPr>
          <w:rFonts w:ascii="宋体" w:eastAsia="宋体" w:hAnsi="宋体" w:cs="Arial"/>
          <w:b/>
          <w:color w:val="7F7F7F" w:themeColor="text1" w:themeTint="80"/>
          <w:sz w:val="30"/>
        </w:rPr>
        <w:t>2.2 PID控制理论基础</w:t>
      </w:r>
      <w:bookmarkEnd w:id="8"/>
    </w:p>
    <w:p w14:paraId="14D1F3FF" w14:textId="410DCDFD">
      <w:pPr>
        <w:spacing w:before="320" w:after="120" w:line="288" w:lineRule="auto"/>
        <w:outlineLvl w:val="1"/>
        <w:rPr>
          <w:rFonts w:ascii="宋体" w:eastAsia="宋体" w:hAnsi="宋体" w:cs="Arial" w:hint="eastAsia"/>
          <w:b/>
          <w:sz w:val="32"/>
        </w:rPr>
      </w:pPr>
      <w:bookmarkStart w:id="9" w:name="heading_8"/>
      <w:r>
        <w:rPr>
          <w:rFonts w:ascii="宋体" w:eastAsia="宋体" w:hAnsi="宋体" w:cs="Arial"/>
          <w:b/>
          <w:sz w:val="32"/>
        </w:rPr>
        <w:t>3 控制方案设计</w:t>
      </w:r>
      <w:bookmarkEnd w:id="9"/>
    </w:p>
    <w:p w14:paraId="49A43269" w14:textId="1D786E22">
      <w:pPr>
        <w:pStyle w:val="a3"/>
        <w:numPr>
          <w:ilvl w:val="0"/>
          <w:numId w:val="21"/>
        </w:numPr>
        <w:ind w:firstLineChars="0"/>
        <w:rPr>
          <w:rFonts w:ascii="宋体" w:eastAsia="宋体" w:hAnsi="宋体" w:cs="Arial" w:hint="eastAsia"/>
          <w:color w:val="FF0000"/>
          <w:sz w:val="22"/>
        </w:rPr>
      </w:pPr>
      <w:bookmarkStart w:id="10" w:name="OLE_LINK2"/>
      <w:r>
        <w:rPr>
          <w:rFonts w:ascii="宋体" w:eastAsia="宋体" w:hAnsi="宋体" w:cs="Arial" w:hint="eastAsia"/>
          <w:color w:val="FF0000"/>
          <w:sz w:val="22"/>
        </w:rPr>
        <w:t>请阐述</w:t>
      </w:r>
      <w:r>
        <w:rPr>
          <w:rFonts w:ascii="宋体" w:eastAsia="宋体" w:hAnsi="宋体" w:cs="Arial" w:hint="eastAsia"/>
          <w:color w:val="FF0000"/>
          <w:sz w:val="22"/>
        </w:rPr>
        <w:t>实际实验内容的控制方案</w:t>
      </w:r>
      <w:r>
        <w:rPr>
          <w:rFonts w:ascii="宋体" w:eastAsia="宋体" w:hAnsi="宋体" w:cs="Arial" w:hint="eastAsia"/>
          <w:color w:val="FF0000"/>
          <w:sz w:val="22"/>
        </w:rPr>
        <w:t>设计逻辑与其中的理论要点</w:t>
      </w:r>
      <w:r>
        <w:rPr>
          <w:rFonts w:ascii="宋体" w:eastAsia="宋体" w:hAnsi="宋体" w:cs="Arial" w:hint="eastAsia"/>
          <w:color w:val="FF0000"/>
          <w:sz w:val="22"/>
        </w:rPr>
        <w:t>，以下为</w:t>
      </w:r>
      <w:r>
        <w:rPr>
          <w:rFonts w:ascii="宋体" w:eastAsia="宋体" w:hAnsi="宋体" w:cs="Arial" w:hint="eastAsia"/>
          <w:color w:val="FF0000"/>
          <w:sz w:val="22"/>
        </w:rPr>
        <w:t>示例目录</w:t>
      </w:r>
      <w:r>
        <w:rPr>
          <w:rFonts w:ascii="宋体" w:eastAsia="宋体" w:hAnsi="宋体" w:cs="Arial" w:hint="eastAsia"/>
          <w:color w:val="FF0000"/>
          <w:sz w:val="22"/>
        </w:rPr>
        <w:t>：</w:t>
      </w:r>
    </w:p>
    <w:p w14:paraId="558A4CD6" w14:textId="684D3FEB">
      <w:pPr>
        <w:spacing w:before="300" w:after="120" w:line="288" w:lineRule="auto"/>
        <w:outlineLvl w:val="2"/>
        <w:rPr>
          <w:rFonts w:ascii="宋体" w:eastAsia="宋体" w:hAnsi="宋体" w:hint="eastAsia"/>
          <w:color w:val="7F7F7F" w:themeColor="text1" w:themeTint="80"/>
        </w:rPr>
      </w:pPr>
      <w:bookmarkStart w:id="11" w:name="heading_9"/>
      <w:bookmarkEnd w:id="10"/>
      <w:r>
        <w:rPr>
          <w:rFonts w:ascii="宋体" w:eastAsia="宋体" w:hAnsi="宋体" w:cs="Arial"/>
          <w:b/>
          <w:color w:val="7F7F7F" w:themeColor="text1" w:themeTint="80"/>
          <w:sz w:val="30"/>
        </w:rPr>
        <w:t>3.1 定位跑控制方案</w:t>
      </w:r>
      <w:bookmarkEnd w:id="11"/>
      <w:r>
        <w:rPr>
          <w:rFonts w:ascii="宋体" w:eastAsia="宋体" w:hAnsi="宋体" w:cs="Arial" w:hint="eastAsia"/>
          <w:b/>
          <w:color w:val="7F7F7F" w:themeColor="text1" w:themeTint="80"/>
          <w:sz w:val="30"/>
        </w:rPr>
        <w:t>与理论要点</w:t>
      </w:r>
    </w:p>
    <w:p w14:paraId="002CB490" w14:textId="116B5D9C">
      <w:pPr>
        <w:spacing w:before="300" w:after="120" w:line="288" w:lineRule="auto"/>
        <w:outlineLvl w:val="2"/>
        <w:rPr>
          <w:rFonts w:ascii="宋体" w:eastAsia="宋体" w:hAnsi="宋体" w:hint="eastAsia"/>
          <w:color w:val="7F7F7F" w:themeColor="text1" w:themeTint="80"/>
        </w:rPr>
      </w:pPr>
      <w:bookmarkStart w:id="12" w:name="heading_10"/>
      <w:r>
        <w:rPr>
          <w:rFonts w:ascii="宋体" w:eastAsia="宋体" w:hAnsi="宋体" w:cs="Arial"/>
          <w:b/>
          <w:color w:val="7F7F7F" w:themeColor="text1" w:themeTint="80"/>
          <w:sz w:val="30"/>
        </w:rPr>
        <w:t>3.2 折返跑控制方案</w:t>
      </w:r>
      <w:r>
        <w:rPr>
          <w:rFonts w:ascii="宋体" w:eastAsia="宋体" w:hAnsi="宋体" w:cs="Arial" w:hint="eastAsia"/>
          <w:b/>
          <w:color w:val="7F7F7F" w:themeColor="text1" w:themeTint="80"/>
          <w:sz w:val="30"/>
        </w:rPr>
        <w:t>与理论要点</w:t>
      </w:r>
      <w:bookmarkEnd w:id="12"/>
    </w:p>
    <w:p w14:paraId="07F0CA62" w14:textId="4B38F0A7">
      <w:pPr>
        <w:spacing w:before="300" w:after="120" w:line="288" w:lineRule="auto"/>
        <w:outlineLvl w:val="2"/>
        <w:rPr>
          <w:rFonts w:ascii="宋体" w:eastAsia="宋体" w:hAnsi="宋体" w:hint="eastAsia"/>
          <w:color w:val="7F7F7F" w:themeColor="text1" w:themeTint="80"/>
        </w:rPr>
      </w:pPr>
      <w:bookmarkStart w:id="13" w:name="heading_11"/>
      <w:r>
        <w:rPr>
          <w:rFonts w:ascii="宋体" w:eastAsia="宋体" w:hAnsi="宋体" w:cs="Arial"/>
          <w:b/>
          <w:color w:val="7F7F7F" w:themeColor="text1" w:themeTint="80"/>
          <w:sz w:val="30"/>
        </w:rPr>
        <w:t>3.3 跨栏跑控制方案</w:t>
      </w:r>
      <w:r>
        <w:rPr>
          <w:rFonts w:ascii="宋体" w:eastAsia="宋体" w:hAnsi="宋体" w:cs="Arial" w:hint="eastAsia"/>
          <w:b/>
          <w:color w:val="7F7F7F" w:themeColor="text1" w:themeTint="80"/>
          <w:sz w:val="30"/>
        </w:rPr>
        <w:t>与理论要点</w:t>
      </w:r>
      <w:bookmarkEnd w:id="13"/>
    </w:p>
    <w:p w14:paraId="7B1FEF1B" w14:textId="06584B33">
      <w:pPr>
        <w:spacing w:before="300" w:after="120" w:line="288" w:lineRule="auto"/>
        <w:outlineLvl w:val="2"/>
        <w:rPr>
          <w:rFonts w:ascii="宋体" w:eastAsia="宋体" w:hAnsi="宋体" w:hint="eastAsia"/>
          <w:color w:val="7F7F7F" w:themeColor="text1" w:themeTint="80"/>
        </w:rPr>
      </w:pPr>
      <w:bookmarkStart w:id="14" w:name="heading_12"/>
      <w:r>
        <w:rPr>
          <w:rFonts w:ascii="宋体" w:eastAsia="宋体" w:hAnsi="宋体" w:cs="Arial"/>
          <w:b/>
          <w:color w:val="7F7F7F" w:themeColor="text1" w:themeTint="80"/>
          <w:sz w:val="30"/>
        </w:rPr>
        <w:t xml:space="preserve">3.4 </w:t>
      </w:r>
      <w:r>
        <w:rPr>
          <w:rFonts w:ascii="宋体" w:eastAsia="宋体" w:hAnsi="宋体" w:cs="Arial" w:hint="eastAsia"/>
          <w:b/>
          <w:color w:val="7F7F7F" w:themeColor="text1" w:themeTint="80"/>
          <w:sz w:val="30"/>
        </w:rPr>
        <w:t>其他选做题目</w:t>
      </w:r>
      <w:bookmarkEnd w:id="14"/>
    </w:p>
    <w:p w14:paraId="4B128C25" w14:textId="3CF3D3B2">
      <w:pPr>
        <w:spacing w:before="320" w:after="120" w:line="288" w:lineRule="auto"/>
        <w:outlineLvl w:val="1"/>
        <w:rPr>
          <w:rFonts w:ascii="宋体" w:eastAsia="宋体" w:hAnsi="宋体" w:cs="Arial" w:hint="eastAsia"/>
          <w:b/>
          <w:sz w:val="32"/>
        </w:rPr>
      </w:pPr>
      <w:bookmarkStart w:id="15" w:name="heading_18"/>
      <w:r>
        <w:rPr>
          <w:rFonts w:ascii="宋体" w:eastAsia="宋体" w:hAnsi="宋体" w:cs="Arial"/>
          <w:b/>
          <w:sz w:val="32"/>
        </w:rPr>
        <w:t>4</w:t>
      </w:r>
      <w:r>
        <w:rPr>
          <w:rFonts w:ascii="宋体" w:eastAsia="宋体" w:hAnsi="宋体" w:cs="Arial"/>
          <w:b/>
          <w:sz w:val="32"/>
        </w:rPr>
        <w:t xml:space="preserve"> 总结与</w:t>
      </w:r>
      <w:bookmarkEnd w:id="15"/>
      <w:r>
        <w:rPr>
          <w:rFonts w:ascii="宋体" w:eastAsia="宋体" w:hAnsi="宋体" w:cs="Arial" w:hint="eastAsia"/>
          <w:b/>
          <w:sz w:val="32"/>
        </w:rPr>
        <w:t>展望</w:t>
      </w:r>
    </w:p>
    <w:p w14:paraId="11258FF8" w14:textId="6AA11AB6">
      <w:pPr>
        <w:pStyle w:val="a3"/>
        <w:numPr>
          <w:ilvl w:val="0"/>
          <w:numId w:val="21"/>
        </w:numPr>
        <w:ind w:firstLineChars="0"/>
        <w:rPr>
          <w:rFonts w:ascii="宋体" w:eastAsia="宋体" w:hAnsi="宋体" w:cs="Arial" w:hint="eastAsia"/>
          <w:color w:val="FF0000"/>
          <w:sz w:val="22"/>
        </w:rPr>
      </w:pPr>
      <w:r>
        <w:rPr>
          <w:rFonts w:ascii="宋体" w:eastAsia="宋体" w:hAnsi="宋体" w:cs="Arial" w:hint="eastAsia"/>
          <w:color w:val="FF0000"/>
          <w:sz w:val="22"/>
        </w:rPr>
        <w:t>请</w:t>
      </w:r>
      <w:r>
        <w:rPr>
          <w:rFonts w:ascii="宋体" w:eastAsia="宋体" w:hAnsi="宋体" w:cs="Arial" w:hint="eastAsia"/>
          <w:color w:val="FF0000"/>
          <w:sz w:val="22"/>
        </w:rPr>
        <w:t>针对课程与报告中的内容进行总结与展望。</w:t>
      </w:r>
    </w:p>
    <w:p w14:paraId="364985F2" w14:textId="77777777">
      <w:pPr>
        <w:spacing w:before="320" w:after="120" w:line="288" w:lineRule="auto"/>
        <w:outlineLvl w:val="1"/>
        <w:rPr>
          <w:rFonts w:ascii="宋体" w:eastAsia="宋体" w:hAnsi="宋体" w:hint="eastAsia"/>
        </w:rPr>
      </w:pPr>
    </w:p>
    <w:p w14:paraId="16222247" w14:textId="388B1B08">
      <w:pPr>
        <w:spacing w:before="320" w:after="120" w:line="288" w:lineRule="auto"/>
        <w:outlineLvl w:val="1"/>
        <w:rPr>
          <w:rFonts w:ascii="宋体" w:eastAsia="宋体" w:hAnsi="宋体" w:hint="eastAsia"/>
        </w:rPr>
      </w:pPr>
      <w:bookmarkStart w:id="16" w:name="heading_21"/>
      <w:r>
        <w:rPr>
          <w:rFonts w:ascii="宋体" w:eastAsia="宋体" w:hAnsi="宋体" w:cs="Arial"/>
          <w:b/>
          <w:sz w:val="32"/>
        </w:rPr>
        <w:t>参考文献</w:t>
      </w:r>
      <w:bookmarkEnd w:id="16"/>
    </w:p>
    <w:p w14:paraId="253B8115" w14:textId="2DB65ED8">
      <w:pPr>
        <w:spacing w:before="120" w:after="120" w:line="288" w:lineRule="auto"/>
        <w:rPr>
          <w:rFonts w:ascii="宋体" w:eastAsia="宋体" w:hAnsi="宋体" w:cs="Arial"/>
          <w:sz w:val="22"/>
        </w:rPr>
      </w:pPr>
      <w:r>
        <w:rPr>
          <w:rFonts w:ascii="宋体" w:eastAsia="宋体" w:hAnsi="宋体" w:cs="Arial"/>
          <w:sz w:val="22"/>
        </w:rPr>
        <w:t>参考文献需至少包含3篇，涵盖PLC控制、PID控制、电机运动控制等相关内容</w:t>
      </w:r>
      <w:r>
        <w:rPr>
          <w:rFonts w:ascii="宋体" w:eastAsia="宋体" w:hAnsi="宋体" w:cs="Arial" w:hint="eastAsia"/>
          <w:sz w:val="22"/>
        </w:rPr>
        <w:t>。</w:t>
      </w:r>
    </w:p>
    <w:p w14:paraId="53EBD56A" w14:textId="77777777">
      <w:pPr>
        <w:spacing w:before="120" w:after="120" w:line="288" w:lineRule="auto"/>
        <w:rPr>
          <w:rFonts w:ascii="宋体" w:eastAsia="宋体" w:hAnsi="宋体" w:cs="Arial"/>
          <w:sz w:val="22"/>
        </w:rPr>
      </w:pPr>
    </w:p>
    <w:p w14:paraId="266FF364" w14:textId="77777777">
      <w:pPr>
        <w:spacing w:before="120" w:after="120" w:line="288" w:lineRule="auto"/>
        <w:rPr>
          <w:rFonts w:ascii="宋体" w:eastAsia="宋体" w:hAnsi="宋体" w:cs="Arial"/>
          <w:sz w:val="22"/>
        </w:rPr>
      </w:pPr>
    </w:p>
    <w:p w14:paraId="351A59DE" w14:textId="77777777">
      <w:pPr>
        <w:spacing w:before="120" w:after="120" w:line="288" w:lineRule="auto"/>
        <w:rPr>
          <w:rFonts w:ascii="宋体" w:eastAsia="宋体" w:hAnsi="宋体" w:cs="Arial" w:hint="eastAsia"/>
          <w:sz w:val="22"/>
        </w:rPr>
      </w:pPr>
    </w:p>
    <w:p w14:paraId="5C131E1D" w14:textId="77777777">
      <w:pPr>
        <w:widowControl/>
        <w:jc w:val="left"/>
        <w:rPr>
          <w:rFonts w:ascii="宋体" w:eastAsia="宋体" w:hAnsi="宋体" w:cs="Arial" w:hint="eastAsia"/>
          <w:sz w:val="22"/>
        </w:rPr>
      </w:pPr>
      <w:r>
        <w:rPr>
          <w:rFonts w:ascii="宋体" w:eastAsia="宋体" w:hAnsi="宋体" w:cs="Arial" w:hint="eastAsia"/>
          <w:sz w:val="22"/>
        </w:rPr>
        <w:br w:type="page"/>
      </w:r>
    </w:p>
    <w:p w14:paraId="475C5324" w14:textId="77777777">
      <w:pPr>
        <w:spacing w:before="120" w:after="120" w:line="288" w:lineRule="auto"/>
        <w:rPr>
          <w:rFonts w:ascii="宋体" w:eastAsia="宋体" w:hAnsi="宋体" w:cs="Arial" w:hint="eastAsia"/>
          <w:sz w:val="22"/>
        </w:rPr>
      </w:pPr>
    </w:p>
    <w:p w14:paraId="33BD14C6" w14:textId="5F934965">
      <w:pPr>
        <w:widowControl/>
        <w:jc w:val="left"/>
        <w:rPr>
          <w:rFonts w:ascii="宋体" w:eastAsia="宋体" w:hAnsi="宋体" w:cs="Arial"/>
          <w:sz w:val="22"/>
        </w:rPr>
      </w:pPr>
      <w:r>
        <w:rPr>
          <w:rFonts w:ascii="宋体" w:eastAsia="宋体" w:hAnsi="宋体" w:cs="Arial" w:hint="eastAsia"/>
          <w:sz w:val="22"/>
        </w:rPr>
        <w:t>这是题目</w:t>
      </w:r>
      <w:r>
        <w:rPr>
          <w:rFonts w:ascii="宋体" w:eastAsia="宋体" w:hAnsi="宋体" w:cs="Arial" w:hint="eastAsia"/>
          <w:sz w:val="22"/>
        </w:rPr>
        <w:t>（最终报告里不需要附上这个）</w:t>
      </w:r>
    </w:p>
    <w:p w14:paraId="02C647F3" w14:textId="72A81B89">
      <w:pPr>
        <w:spacing w:before="120" w:after="120" w:line="288" w:lineRule="auto"/>
        <w:rPr>
          <w:rFonts w:ascii="宋体" w:eastAsia="宋体" w:hAnsi="宋体" w:hint="eastAsia"/>
        </w:rPr>
      </w:pPr>
      <w:r>
        <w:rPr>
          <w:rFonts w:ascii="宋体" w:eastAsia="宋体" w:hAnsi="宋体" w:cs="Arial"/>
          <w:noProof/>
          <w:sz w:val="22"/>
        </w:rPr>
        <w:drawing>
          <wp:inline distT="0" distB="0" distL="0" distR="0" wp14:anchorId="45B83764" wp14:editId="54F030EF">
            <wp:extent cx="3978290" cy="2413000"/>
            <wp:effectExtent l="0" t="0" r="0" b="0"/>
            <wp:docPr id="20178471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48" t="12787" r="7510" b="527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9680" cy="2413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2B05C" w14:textId="77777777">
      <w:pPr>
        <w:rPr>
          <w:rFonts w:hint="eastAsia"/>
        </w:rPr>
      </w:pPr>
      <w:r>
        <w:separator/>
      </w:r>
    </w:p>
  </w:endnote>
  <w:endnote w:type="continuationSeparator" w:id="0">
    <w:p w14:paraId="64BA04D2" w14:textId="7777777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8444E" w14:textId="77777777">
      <w:pPr>
        <w:rPr>
          <w:rFonts w:hint="eastAsia"/>
        </w:rPr>
      </w:pPr>
      <w:r>
        <w:separator/>
      </w:r>
    </w:p>
  </w:footnote>
  <w:footnote w:type="continuationSeparator" w:id="0">
    <w:p w14:paraId="266E7245" w14:textId="7777777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3EE4"/>
    <w:multiLevelType w:val="multilevel"/>
    <w:tmpl w:val="FCD8A34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7B4378A"/>
    <w:multiLevelType w:val="multilevel"/>
    <w:tmpl w:val="C1A68C54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EE21B15"/>
    <w:multiLevelType w:val="multilevel"/>
    <w:tmpl w:val="5484A6AC"/>
    <w:lvl w:ilvl="0">
      <w:start w:val="1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CAD5562"/>
    <w:multiLevelType w:val="multilevel"/>
    <w:tmpl w:val="9A46FBCA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D364EF3"/>
    <w:multiLevelType w:val="multilevel"/>
    <w:tmpl w:val="242E72CA"/>
    <w:lvl w:ilvl="0">
      <w:start w:val="1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1EF000F"/>
    <w:multiLevelType w:val="multilevel"/>
    <w:tmpl w:val="D728DAA6"/>
    <w:lvl w:ilvl="0">
      <w:start w:val="1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8D53686"/>
    <w:multiLevelType w:val="multilevel"/>
    <w:tmpl w:val="C6F2B62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68252B7"/>
    <w:multiLevelType w:val="multilevel"/>
    <w:tmpl w:val="F92A8D84"/>
    <w:lvl w:ilvl="0">
      <w:start w:val="1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DC976CD"/>
    <w:multiLevelType w:val="multilevel"/>
    <w:tmpl w:val="C2A4BD46"/>
    <w:lvl w:ilvl="0">
      <w:start w:val="1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2EB6AFC"/>
    <w:multiLevelType w:val="multilevel"/>
    <w:tmpl w:val="32403172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B571030"/>
    <w:multiLevelType w:val="multilevel"/>
    <w:tmpl w:val="88C0C190"/>
    <w:lvl w:ilvl="0">
      <w:start w:val="1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E4C7E77"/>
    <w:multiLevelType w:val="multilevel"/>
    <w:tmpl w:val="F3AC97B6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4ED51637"/>
    <w:multiLevelType w:val="multilevel"/>
    <w:tmpl w:val="E8C09B9A"/>
    <w:lvl w:ilvl="0">
      <w:start w:val="1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50AF055F"/>
    <w:multiLevelType w:val="multilevel"/>
    <w:tmpl w:val="6BFAC4B0"/>
    <w:lvl w:ilvl="0">
      <w:start w:val="1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543B3138"/>
    <w:multiLevelType w:val="multilevel"/>
    <w:tmpl w:val="BDD4146E"/>
    <w:lvl w:ilvl="0">
      <w:start w:val="10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5A762196"/>
    <w:multiLevelType w:val="hybridMultilevel"/>
    <w:tmpl w:val="935EE3D0"/>
    <w:lvl w:ilvl="0" w:tplc="04090001">
      <w:start w:val="1"/>
      <w:numFmt w:val="bullet"/>
      <w:lvlText w:val=""/>
      <w:lvlJc w:val="left"/>
      <w:pPr>
        <w:ind w:left="8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0" w:hanging="420"/>
      </w:pPr>
      <w:rPr>
        <w:rFonts w:ascii="Wingdings" w:hAnsi="Wingdings" w:hint="default"/>
      </w:rPr>
    </w:lvl>
  </w:abstractNum>
  <w:abstractNum w:abstractNumId="16" w15:restartNumberingAfterBreak="0">
    <w:nsid w:val="5E897E6B"/>
    <w:multiLevelType w:val="multilevel"/>
    <w:tmpl w:val="2F3807A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664E07F1"/>
    <w:multiLevelType w:val="multilevel"/>
    <w:tmpl w:val="CE6C8F9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6997217F"/>
    <w:multiLevelType w:val="multilevel"/>
    <w:tmpl w:val="94F047D2"/>
    <w:lvl w:ilvl="0">
      <w:start w:val="20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70AF36C7"/>
    <w:multiLevelType w:val="multilevel"/>
    <w:tmpl w:val="44D4D71A"/>
    <w:lvl w:ilvl="0">
      <w:start w:val="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763774B5"/>
    <w:multiLevelType w:val="multilevel"/>
    <w:tmpl w:val="0D640E30"/>
    <w:lvl w:ilvl="0">
      <w:start w:val="1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826624244">
    <w:abstractNumId w:val="6"/>
  </w:num>
  <w:num w:numId="2" w16cid:durableId="1913537016">
    <w:abstractNumId w:val="17"/>
  </w:num>
  <w:num w:numId="3" w16cid:durableId="699167267">
    <w:abstractNumId w:val="16"/>
  </w:num>
  <w:num w:numId="4" w16cid:durableId="337778330">
    <w:abstractNumId w:val="0"/>
  </w:num>
  <w:num w:numId="5" w16cid:durableId="2083989941">
    <w:abstractNumId w:val="11"/>
  </w:num>
  <w:num w:numId="6" w16cid:durableId="670259961">
    <w:abstractNumId w:val="9"/>
  </w:num>
  <w:num w:numId="7" w16cid:durableId="96295087">
    <w:abstractNumId w:val="3"/>
  </w:num>
  <w:num w:numId="8" w16cid:durableId="733431694">
    <w:abstractNumId w:val="1"/>
  </w:num>
  <w:num w:numId="9" w16cid:durableId="1995062033">
    <w:abstractNumId w:val="19"/>
  </w:num>
  <w:num w:numId="10" w16cid:durableId="2028943141">
    <w:abstractNumId w:val="14"/>
  </w:num>
  <w:num w:numId="11" w16cid:durableId="1358311588">
    <w:abstractNumId w:val="2"/>
  </w:num>
  <w:num w:numId="12" w16cid:durableId="1767772135">
    <w:abstractNumId w:val="10"/>
  </w:num>
  <w:num w:numId="13" w16cid:durableId="50346894">
    <w:abstractNumId w:val="7"/>
  </w:num>
  <w:num w:numId="14" w16cid:durableId="1791170604">
    <w:abstractNumId w:val="8"/>
  </w:num>
  <w:num w:numId="15" w16cid:durableId="1967396379">
    <w:abstractNumId w:val="12"/>
  </w:num>
  <w:num w:numId="16" w16cid:durableId="1756315668">
    <w:abstractNumId w:val="20"/>
  </w:num>
  <w:num w:numId="17" w16cid:durableId="930628242">
    <w:abstractNumId w:val="13"/>
  </w:num>
  <w:num w:numId="18" w16cid:durableId="157238622">
    <w:abstractNumId w:val="4"/>
  </w:num>
  <w:num w:numId="19" w16cid:durableId="881864142">
    <w:abstractNumId w:val="5"/>
  </w:num>
  <w:num w:numId="20" w16cid:durableId="1353337314">
    <w:abstractNumId w:val="18"/>
  </w:num>
  <w:num w:numId="21" w16cid:durableId="17426766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60C9"/>
    <w:rsid w:val="00004275"/>
    <w:rsid w:val="000F4371"/>
    <w:rsid w:val="002A3F15"/>
    <w:rsid w:val="003408E8"/>
    <w:rsid w:val="0049482D"/>
    <w:rsid w:val="00552EC1"/>
    <w:rsid w:val="00564760"/>
    <w:rsid w:val="00717133"/>
    <w:rsid w:val="00864A62"/>
    <w:rsid w:val="00874E8B"/>
    <w:rsid w:val="00946F1B"/>
    <w:rsid w:val="00964C89"/>
    <w:rsid w:val="00AF057A"/>
    <w:rsid w:val="00AF562E"/>
    <w:rsid w:val="00B05BA9"/>
    <w:rsid w:val="00BE40CA"/>
    <w:rsid w:val="00C97AAF"/>
    <w:rsid w:val="00D535E8"/>
    <w:rsid w:val="00D90D7E"/>
    <w:rsid w:val="00DF29F6"/>
    <w:rsid w:val="00F67684"/>
    <w:rsid w:val="00F856F2"/>
    <w:rsid w:val="00FC6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CD3B0"/>
  <w15:docId w15:val="{1DDA1697-0B98-D242-B3F4-E8D8EFD1D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2EC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274</Words>
  <Characters>1567</Characters>
  <Application>Microsoft Office Word</Application>
  <DocSecurity>0</DocSecurity>
  <Lines>13</Lines>
  <Paragraphs>3</Paragraphs>
  <ScaleCrop>false</ScaleCrop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17</cp:revision>
  <dcterms:created xsi:type="dcterms:W3CDTF">2026-04-08T09:06:00Z</dcterms:created>
  <dcterms:modified xsi:type="dcterms:W3CDTF">2026-04-19T07:56:00Z</dcterms:modified>
</cp:coreProperties>
</file>