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EDD0A" w14:textId="04E1724A">
      <w:pPr>
        <w:rPr>
          <w:rFonts w:hint="eastAsia"/>
        </w:rPr>
      </w:pPr>
      <w:r>
        <w:rPr>
          <w:rFonts w:hint="eastAsia"/>
        </w:rPr>
        <w:t>占空比为140上位机和电机转速曲线</w:t>
      </w:r>
    </w:p>
    <w:p w14:paraId="5A7E0675" w14:textId="119DD707">
      <w:r>
        <w:rPr>
          <w:noProof/>
        </w:rPr>
        <w:drawing>
          <wp:inline distT="0" distB="0" distL="0" distR="0" wp14:anchorId="6F7479C4" wp14:editId="46CF85C9">
            <wp:extent cx="5269865" cy="2544445"/>
            <wp:effectExtent l="0" t="0" r="6985" b="8255"/>
            <wp:docPr id="1721768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2673E" w14:textId="2A31F15A">
      <w:pPr>
        <w:rPr>
          <w:rFonts w:hint="eastAsia"/>
        </w:rPr>
      </w:pPr>
      <w:r>
        <w:rPr>
          <w:rFonts w:hint="eastAsia"/>
        </w:rPr>
        <w:t>MATLAB工具箱拟合曲线，一阶惯性环节，K=18.28，T=0.0231</w:t>
      </w:r>
    </w:p>
    <w:p w14:paraId="32B5F6FF" w14:textId="3F6FE10E">
      <w:pPr>
        <w:rPr>
          <w:rFonts w:hint="eastAsia"/>
        </w:rPr>
      </w:pPr>
      <w:r>
        <w:rPr>
          <w:noProof/>
        </w:rPr>
        <w:drawing>
          <wp:inline distT="0" distB="0" distL="0" distR="0" wp14:anchorId="48552407" wp14:editId="2ACE17B2">
            <wp:extent cx="5269865" cy="3953510"/>
            <wp:effectExtent l="0" t="0" r="6985" b="8890"/>
            <wp:docPr id="7841163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C51"/>
    <w:rsid w:val="00087C51"/>
    <w:rsid w:val="0045252E"/>
    <w:rsid w:val="00CA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56A88"/>
  <w15:chartTrackingRefBased/>
  <w15:docId w15:val="{6689536F-6E75-4DB9-9ACF-A92604FA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C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C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C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C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C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C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C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C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7C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7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7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7C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7C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7C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7C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7C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7C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7C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7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C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7C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7C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C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C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7C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2026-03-17T02:08:00Z</dcterms:created>
  <dcterms:modified xsi:type="dcterms:W3CDTF">2026-03-17T02:12:00Z</dcterms:modified>
</cp:coreProperties>
</file>