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1.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2.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tabs>
          <w:tab w:pos="9951" w:val="left" w:leader="none"/>
        </w:tabs>
        <w:spacing w:before="80" w:after="33"/>
        <w:ind w:left="4949"/>
      </w:pPr>
      <w:bookmarkStart w:name="DIN ISO/IEC 27001:2015-03" w:id="1"/>
      <w:bookmarkEnd w:id="1"/>
      <w:r>
        <w:rPr/>
      </w:r>
      <w:r>
        <w:rPr>
          <w:position w:val="1"/>
        </w:rPr>
        <w:t>DEUTSCHE</w:t>
      </w:r>
      <w:r>
        <w:rPr>
          <w:spacing w:val="-7"/>
          <w:position w:val="1"/>
        </w:rPr>
        <w:t> </w:t>
      </w:r>
      <w:r>
        <w:rPr>
          <w:position w:val="1"/>
        </w:rPr>
        <w:t>NORM</w:t>
        <w:tab/>
      </w:r>
      <w:r>
        <w:rPr/>
        <w:t>März 2015</w:t>
      </w:r>
    </w:p>
    <w:tbl>
      <w:tblPr>
        <w:tblW w:w="0" w:type="auto"/>
        <w:jc w:val="left"/>
        <w:tblInd w:w="909" w:type="dxa"/>
        <w:tblBorders>
          <w:top w:val="single" w:sz="24" w:space="0" w:color="080808"/>
          <w:left w:val="single" w:sz="24" w:space="0" w:color="080808"/>
          <w:bottom w:val="single" w:sz="24" w:space="0" w:color="080808"/>
          <w:right w:val="single" w:sz="24" w:space="0" w:color="080808"/>
          <w:insideH w:val="single" w:sz="24" w:space="0" w:color="080808"/>
          <w:insideV w:val="single" w:sz="24" w:space="0" w:color="080808"/>
        </w:tblBorders>
        <w:tblLayout w:type="fixed"/>
        <w:tblCellMar>
          <w:top w:w="0" w:type="dxa"/>
          <w:left w:w="0" w:type="dxa"/>
          <w:bottom w:w="0" w:type="dxa"/>
          <w:right w:w="0" w:type="dxa"/>
        </w:tblCellMar>
        <w:tblLook w:val="01E0"/>
      </w:tblPr>
      <w:tblGrid>
        <w:gridCol w:w="1474"/>
        <w:gridCol w:w="6519"/>
        <w:gridCol w:w="2041"/>
      </w:tblGrid>
      <w:tr>
        <w:trPr>
          <w:trHeight w:val="1185" w:hRule="atLeast"/>
        </w:trPr>
        <w:tc>
          <w:tcPr>
            <w:tcW w:w="1474" w:type="dxa"/>
            <w:tcBorders>
              <w:bottom w:val="single" w:sz="24" w:space="0" w:color="000000"/>
              <w:right w:val="single" w:sz="24" w:space="0" w:color="000000"/>
            </w:tcBorders>
          </w:tcPr>
          <w:p>
            <w:pPr>
              <w:pStyle w:val="TableParagraph"/>
              <w:spacing w:before="0"/>
              <w:ind w:left="0"/>
              <w:rPr>
                <w:rFonts w:ascii="Times New Roman"/>
                <w:sz w:val="20"/>
              </w:rPr>
            </w:pPr>
          </w:p>
        </w:tc>
        <w:tc>
          <w:tcPr>
            <w:tcW w:w="6519" w:type="dxa"/>
            <w:tcBorders>
              <w:left w:val="single" w:sz="24" w:space="0" w:color="000000"/>
              <w:bottom w:val="single" w:sz="24" w:space="0" w:color="000000"/>
              <w:right w:val="single" w:sz="24" w:space="0" w:color="000000"/>
            </w:tcBorders>
          </w:tcPr>
          <w:p>
            <w:pPr>
              <w:pStyle w:val="TableParagraph"/>
              <w:spacing w:before="3"/>
              <w:ind w:left="0"/>
              <w:rPr>
                <w:sz w:val="31"/>
              </w:rPr>
            </w:pPr>
          </w:p>
          <w:p>
            <w:pPr>
              <w:pStyle w:val="TableParagraph"/>
              <w:spacing w:before="0"/>
              <w:ind w:left="1996"/>
              <w:rPr>
                <w:sz w:val="28"/>
              </w:rPr>
            </w:pPr>
            <w:r>
              <w:rPr>
                <w:sz w:val="28"/>
              </w:rPr>
              <w:t>DIN ISO/IEC 27001</w:t>
            </w:r>
          </w:p>
        </w:tc>
        <w:tc>
          <w:tcPr>
            <w:tcW w:w="2041" w:type="dxa"/>
            <w:tcBorders>
              <w:left w:val="single" w:sz="24" w:space="0" w:color="000000"/>
              <w:bottom w:val="single" w:sz="24" w:space="0" w:color="000000"/>
            </w:tcBorders>
          </w:tcPr>
          <w:p>
            <w:pPr>
              <w:pStyle w:val="TableParagraph"/>
              <w:spacing w:before="252"/>
              <w:ind w:left="507"/>
              <w:rPr>
                <w:rFonts w:ascii="Calibri"/>
                <w:sz w:val="56"/>
              </w:rPr>
            </w:pPr>
            <w:r>
              <w:rPr>
                <w:rFonts w:ascii="Calibri"/>
                <w:w w:val="291"/>
                <w:sz w:val="56"/>
              </w:rPr>
              <w:t>D</w:t>
            </w:r>
          </w:p>
        </w:tc>
      </w:tr>
      <w:tr>
        <w:trPr>
          <w:trHeight w:val="13262" w:hRule="atLeast"/>
        </w:trPr>
        <w:tc>
          <w:tcPr>
            <w:tcW w:w="10034" w:type="dxa"/>
            <w:gridSpan w:val="3"/>
            <w:tcBorders>
              <w:top w:val="single" w:sz="24" w:space="0" w:color="000000"/>
            </w:tcBorders>
          </w:tcPr>
          <w:p>
            <w:pPr>
              <w:pStyle w:val="TableParagraph"/>
              <w:tabs>
                <w:tab w:pos="6907" w:val="left" w:leader="none"/>
              </w:tabs>
              <w:spacing w:line="229" w:lineRule="exact" w:before="73"/>
              <w:ind w:left="218"/>
              <w:rPr>
                <w:sz w:val="20"/>
              </w:rPr>
            </w:pPr>
            <w:r>
              <w:rPr>
                <w:sz w:val="20"/>
              </w:rPr>
              <w:t>ICS</w:t>
            </w:r>
            <w:r>
              <w:rPr>
                <w:spacing w:val="-4"/>
                <w:sz w:val="20"/>
              </w:rPr>
              <w:t> </w:t>
            </w:r>
            <w:r>
              <w:rPr>
                <w:sz w:val="20"/>
              </w:rPr>
              <w:t>35.040</w:t>
              <w:tab/>
              <w:t>Ersatz</w:t>
            </w:r>
            <w:r>
              <w:rPr>
                <w:spacing w:val="-1"/>
                <w:sz w:val="20"/>
              </w:rPr>
              <w:t> </w:t>
            </w:r>
            <w:r>
              <w:rPr>
                <w:sz w:val="20"/>
              </w:rPr>
              <w:t>für</w:t>
            </w:r>
          </w:p>
          <w:p>
            <w:pPr>
              <w:pStyle w:val="TableParagraph"/>
              <w:spacing w:line="229" w:lineRule="exact" w:before="0"/>
              <w:ind w:left="0" w:right="540"/>
              <w:jc w:val="right"/>
              <w:rPr>
                <w:sz w:val="20"/>
              </w:rPr>
            </w:pPr>
            <w:r>
              <w:rPr>
                <w:sz w:val="20"/>
              </w:rPr>
              <w:t>DIN ISO/IEC 27001:2008-09</w:t>
            </w:r>
          </w:p>
          <w:p>
            <w:pPr>
              <w:pStyle w:val="TableParagraph"/>
              <w:spacing w:before="0"/>
              <w:ind w:left="0"/>
              <w:rPr>
                <w:sz w:val="22"/>
              </w:rPr>
            </w:pPr>
          </w:p>
          <w:p>
            <w:pPr>
              <w:pStyle w:val="TableParagraph"/>
              <w:spacing w:before="0"/>
              <w:ind w:left="0"/>
              <w:rPr>
                <w:sz w:val="22"/>
              </w:rPr>
            </w:pPr>
          </w:p>
          <w:p>
            <w:pPr>
              <w:pStyle w:val="TableParagraph"/>
              <w:spacing w:before="0"/>
              <w:ind w:left="0"/>
              <w:rPr>
                <w:sz w:val="22"/>
              </w:rPr>
            </w:pPr>
          </w:p>
          <w:p>
            <w:pPr>
              <w:pStyle w:val="TableParagraph"/>
              <w:spacing w:before="0"/>
              <w:ind w:left="0"/>
              <w:rPr>
                <w:sz w:val="22"/>
              </w:rPr>
            </w:pPr>
          </w:p>
          <w:p>
            <w:pPr>
              <w:pStyle w:val="TableParagraph"/>
              <w:spacing w:before="183"/>
              <w:ind w:left="163"/>
              <w:rPr>
                <w:sz w:val="28"/>
              </w:rPr>
            </w:pPr>
            <w:r>
              <w:rPr>
                <w:w w:val="105"/>
                <w:sz w:val="28"/>
              </w:rPr>
              <w:t>Informationstechnik –</w:t>
            </w:r>
          </w:p>
          <w:p>
            <w:pPr>
              <w:pStyle w:val="TableParagraph"/>
              <w:spacing w:before="6"/>
              <w:ind w:left="163"/>
              <w:rPr>
                <w:sz w:val="28"/>
              </w:rPr>
            </w:pPr>
            <w:r>
              <w:rPr>
                <w:w w:val="105"/>
                <w:sz w:val="28"/>
              </w:rPr>
              <w:t>IT-Sicherheitsverfahren –</w:t>
            </w:r>
          </w:p>
          <w:p>
            <w:pPr>
              <w:pStyle w:val="TableParagraph"/>
              <w:spacing w:line="247" w:lineRule="auto" w:before="10"/>
              <w:ind w:left="163" w:right="953"/>
              <w:rPr>
                <w:sz w:val="28"/>
              </w:rPr>
            </w:pPr>
            <w:r>
              <w:rPr>
                <w:w w:val="105"/>
                <w:sz w:val="28"/>
              </w:rPr>
              <w:t>Informationssicherheits-Managementsysteme – Anforderungen (ISO/IEC 27001:2013 + Cor. 1:2014)</w:t>
            </w:r>
          </w:p>
          <w:p>
            <w:pPr>
              <w:pStyle w:val="TableParagraph"/>
              <w:spacing w:line="237" w:lineRule="auto" w:before="166"/>
              <w:ind w:left="163" w:right="7162"/>
              <w:rPr>
                <w:sz w:val="24"/>
              </w:rPr>
            </w:pPr>
            <w:r>
              <w:rPr>
                <w:sz w:val="24"/>
              </w:rPr>
              <w:t>Information technology – Security techniques –</w:t>
            </w:r>
          </w:p>
          <w:p>
            <w:pPr>
              <w:pStyle w:val="TableParagraph"/>
              <w:spacing w:before="1"/>
              <w:ind w:left="163" w:right="953"/>
              <w:rPr>
                <w:sz w:val="24"/>
              </w:rPr>
            </w:pPr>
            <w:r>
              <w:rPr>
                <w:sz w:val="24"/>
              </w:rPr>
              <w:t>Information security management systems – Requirements (ISO/IEC 27001:2013 + Cor. 1:2014)</w:t>
            </w:r>
          </w:p>
          <w:p>
            <w:pPr>
              <w:pStyle w:val="TableParagraph"/>
              <w:spacing w:before="112"/>
              <w:ind w:left="163" w:right="6469"/>
              <w:rPr>
                <w:sz w:val="24"/>
              </w:rPr>
            </w:pPr>
            <w:r>
              <w:rPr>
                <w:sz w:val="24"/>
              </w:rPr>
              <w:t>Technologies de l’information – Techniques de sécurité –</w:t>
            </w:r>
          </w:p>
          <w:p>
            <w:pPr>
              <w:pStyle w:val="TableParagraph"/>
              <w:spacing w:before="1"/>
              <w:ind w:left="163" w:right="272"/>
              <w:rPr>
                <w:sz w:val="24"/>
              </w:rPr>
            </w:pPr>
            <w:r>
              <w:rPr>
                <w:sz w:val="24"/>
              </w:rPr>
              <w:t>Systèmes de gestion de sécurité de l’information – Exigences (ISO/CEI 27001:2013 + Cor. 1:2014)</w:t>
            </w: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0"/>
              <w:ind w:left="0"/>
              <w:rPr>
                <w:sz w:val="26"/>
              </w:rPr>
            </w:pPr>
          </w:p>
          <w:p>
            <w:pPr>
              <w:pStyle w:val="TableParagraph"/>
              <w:spacing w:before="3"/>
              <w:ind w:left="0"/>
              <w:rPr>
                <w:sz w:val="27"/>
              </w:rPr>
            </w:pPr>
          </w:p>
          <w:p>
            <w:pPr>
              <w:pStyle w:val="TableParagraph"/>
              <w:spacing w:before="0"/>
              <w:ind w:left="0" w:right="123"/>
              <w:jc w:val="right"/>
              <w:rPr>
                <w:sz w:val="20"/>
              </w:rPr>
            </w:pPr>
            <w:r>
              <w:rPr>
                <w:sz w:val="20"/>
              </w:rPr>
              <w:t>Gesamtumfang 31 Seiten</w:t>
            </w:r>
          </w:p>
          <w:p>
            <w:pPr>
              <w:pStyle w:val="TableParagraph"/>
              <w:spacing w:before="0"/>
              <w:ind w:left="0"/>
              <w:rPr>
                <w:sz w:val="22"/>
              </w:rPr>
            </w:pPr>
          </w:p>
          <w:p>
            <w:pPr>
              <w:pStyle w:val="TableParagraph"/>
              <w:spacing w:before="0"/>
              <w:ind w:left="0"/>
              <w:rPr>
                <w:sz w:val="22"/>
              </w:rPr>
            </w:pPr>
          </w:p>
          <w:p>
            <w:pPr>
              <w:pStyle w:val="TableParagraph"/>
              <w:spacing w:before="0"/>
              <w:ind w:left="0"/>
              <w:rPr>
                <w:sz w:val="22"/>
              </w:rPr>
            </w:pPr>
          </w:p>
          <w:p>
            <w:pPr>
              <w:pStyle w:val="TableParagraph"/>
              <w:spacing w:before="6"/>
              <w:ind w:left="0"/>
              <w:rPr>
                <w:sz w:val="32"/>
              </w:rPr>
            </w:pPr>
          </w:p>
          <w:p>
            <w:pPr>
              <w:pStyle w:val="TableParagraph"/>
              <w:spacing w:before="0"/>
              <w:ind w:left="1933" w:right="1898"/>
              <w:jc w:val="center"/>
              <w:rPr>
                <w:sz w:val="20"/>
              </w:rPr>
            </w:pPr>
            <w:r>
              <w:rPr>
                <w:sz w:val="20"/>
              </w:rPr>
              <w:t>DIN-Normenausschuss Informationstechnik und Anwendungen (NIA)</w:t>
            </w:r>
          </w:p>
        </w:tc>
      </w:tr>
      <w:tr>
        <w:trPr>
          <w:trHeight w:val="391" w:hRule="atLeast"/>
        </w:trPr>
        <w:tc>
          <w:tcPr>
            <w:tcW w:w="10034" w:type="dxa"/>
            <w:gridSpan w:val="3"/>
          </w:tcPr>
          <w:p>
            <w:pPr>
              <w:pStyle w:val="TableParagraph"/>
              <w:spacing w:before="0"/>
              <w:ind w:left="0"/>
              <w:rPr>
                <w:rFonts w:ascii="Times New Roman"/>
                <w:sz w:val="20"/>
              </w:rPr>
            </w:pPr>
          </w:p>
        </w:tc>
      </w:tr>
    </w:tbl>
    <w:p>
      <w:pPr>
        <w:spacing w:after="0"/>
        <w:rPr>
          <w:rFonts w:ascii="Times New Roman"/>
          <w:sz w:val="20"/>
        </w:rPr>
        <w:sectPr>
          <w:type w:val="continuous"/>
          <w:pgSz w:w="11900" w:h="16840"/>
          <w:pgMar w:top="360" w:bottom="0" w:left="260" w:right="580"/>
        </w:sectPr>
      </w:pPr>
    </w:p>
    <w:p>
      <w:pPr>
        <w:spacing w:line="242" w:lineRule="auto" w:before="88"/>
        <w:ind w:left="1097" w:right="0" w:hanging="284"/>
        <w:jc w:val="left"/>
        <w:rPr>
          <w:sz w:val="14"/>
        </w:rPr>
      </w:pPr>
      <w:r>
        <w:rPr/>
        <w:pict>
          <v:shapetype id="_x0000_t202" o:spt="202" coordsize="21600,21600" path="m,l,21600r21600,l21600,xe">
            <v:stroke joinstyle="miter"/>
            <v:path gradientshapeok="t" o:connecttype="rect"/>
          </v:shapetype>
          <v:shape style="position:absolute;margin-left:9.663086pt;margin-top:-49.603539pt;width:9.85pt;height:83.7pt;mso-position-horizontal-relative:page;mso-position-vertical-relative:paragraph;z-index:-254718976"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sz w:val="14"/>
        </w:rPr>
        <w:t>© DIN Deutsches Institut für Normung e. V. · Jede Art der Vervielfältigung, auch auszugsweise, nur mit Genehmigung des DIN Deutsches Institut für Normung e. V., Berlin, gestattet.</w:t>
      </w:r>
    </w:p>
    <w:p>
      <w:pPr>
        <w:spacing w:before="1"/>
        <w:ind w:left="814" w:right="0" w:firstLine="0"/>
        <w:jc w:val="left"/>
        <w:rPr>
          <w:sz w:val="14"/>
        </w:rPr>
      </w:pPr>
      <w:r>
        <w:rPr>
          <w:sz w:val="14"/>
        </w:rPr>
        <w:t>Alleinverkauf der Normen durch Beuth Verlag GmbH, 10772 Berlin</w:t>
      </w:r>
    </w:p>
    <w:p>
      <w:pPr>
        <w:pStyle w:val="BodyText"/>
        <w:spacing w:before="7"/>
        <w:rPr>
          <w:sz w:val="12"/>
        </w:rPr>
      </w:pPr>
      <w:r>
        <w:rPr/>
        <w:br w:type="column"/>
      </w:r>
      <w:r>
        <w:rPr>
          <w:sz w:val="12"/>
        </w:rPr>
      </w:r>
    </w:p>
    <w:p>
      <w:pPr>
        <w:spacing w:line="252" w:lineRule="auto" w:before="1"/>
        <w:ind w:left="883" w:right="0" w:hanging="70"/>
        <w:jc w:val="right"/>
        <w:rPr>
          <w:sz w:val="14"/>
        </w:rPr>
      </w:pPr>
      <w:r>
        <w:rPr>
          <w:sz w:val="14"/>
        </w:rPr>
        <w:t>Preisgruppe 14</w:t>
      </w:r>
      <w:r>
        <w:rPr>
          <w:w w:val="99"/>
          <w:sz w:val="14"/>
        </w:rPr>
        <w:t> </w:t>
      </w:r>
      <w:hyperlink r:id="rId5">
        <w:r>
          <w:rPr>
            <w:w w:val="95"/>
            <w:sz w:val="14"/>
          </w:rPr>
          <w:t>www.din.de</w:t>
        </w:r>
      </w:hyperlink>
      <w:r>
        <w:rPr>
          <w:w w:val="95"/>
          <w:sz w:val="14"/>
        </w:rPr>
        <w:t> </w:t>
      </w:r>
      <w:hyperlink r:id="rId6">
        <w:r>
          <w:rPr>
            <w:w w:val="95"/>
            <w:sz w:val="14"/>
          </w:rPr>
          <w:t>www.beuth.de</w:t>
        </w:r>
      </w:hyperlink>
    </w:p>
    <w:p>
      <w:pPr>
        <w:spacing w:before="39"/>
        <w:ind w:left="676" w:right="0" w:firstLine="0"/>
        <w:jc w:val="left"/>
        <w:rPr>
          <w:sz w:val="40"/>
        </w:rPr>
      </w:pPr>
      <w:r>
        <w:rPr/>
        <w:br w:type="column"/>
      </w:r>
      <w:r>
        <w:rPr>
          <w:w w:val="80"/>
          <w:sz w:val="40"/>
        </w:rPr>
        <w:t>!%@ÜO"</w:t>
      </w:r>
    </w:p>
    <w:p>
      <w:pPr>
        <w:spacing w:before="43"/>
        <w:ind w:left="1338" w:right="0" w:firstLine="0"/>
        <w:jc w:val="left"/>
        <w:rPr>
          <w:sz w:val="14"/>
        </w:rPr>
      </w:pPr>
      <w:r>
        <w:rPr>
          <w:sz w:val="14"/>
        </w:rPr>
        <w:t>2299844</w:t>
      </w:r>
    </w:p>
    <w:p>
      <w:pPr>
        <w:spacing w:after="0"/>
        <w:jc w:val="left"/>
        <w:rPr>
          <w:sz w:val="14"/>
        </w:rPr>
        <w:sectPr>
          <w:type w:val="continuous"/>
          <w:pgSz w:w="11900" w:h="16840"/>
          <w:pgMar w:top="360" w:bottom="0" w:left="260" w:right="580"/>
          <w:cols w:num="3" w:equalWidth="0">
            <w:col w:w="6855" w:space="369"/>
            <w:col w:w="1766" w:space="40"/>
            <w:col w:w="2030"/>
          </w:cols>
        </w:sectPr>
      </w:pPr>
    </w:p>
    <w:p>
      <w:pPr>
        <w:pStyle w:val="BodyText"/>
      </w:pPr>
    </w:p>
    <w:p>
      <w:pPr>
        <w:pStyle w:val="BodyText"/>
      </w:pPr>
    </w:p>
    <w:p>
      <w:pPr>
        <w:pStyle w:val="BodyText"/>
        <w:spacing w:before="3"/>
        <w:rPr>
          <w:sz w:val="22"/>
        </w:rPr>
      </w:pPr>
    </w:p>
    <w:p>
      <w:pPr>
        <w:spacing w:before="91"/>
        <w:ind w:left="476" w:right="0" w:firstLine="0"/>
        <w:jc w:val="left"/>
        <w:rPr>
          <w:b/>
          <w:sz w:val="28"/>
        </w:rPr>
      </w:pPr>
      <w:bookmarkStart w:name="Inhalt" w:id="2"/>
      <w:bookmarkEnd w:id="2"/>
      <w:r>
        <w:rPr/>
      </w:r>
      <w:r>
        <w:rPr>
          <w:b/>
          <w:sz w:val="28"/>
        </w:rPr>
        <w:t>Inhalt</w:t>
      </w:r>
    </w:p>
    <w:p>
      <w:pPr>
        <w:pStyle w:val="BodyText"/>
        <w:spacing w:before="8"/>
        <w:rPr>
          <w:b/>
          <w:sz w:val="18"/>
        </w:rPr>
      </w:pPr>
    </w:p>
    <w:p>
      <w:pPr>
        <w:pStyle w:val="BodyText"/>
        <w:spacing w:before="93"/>
        <w:ind w:right="878"/>
        <w:jc w:val="right"/>
      </w:pPr>
      <w:r>
        <w:rPr>
          <w:spacing w:val="-1"/>
        </w:rPr>
        <w:t>Seite</w:t>
      </w:r>
    </w:p>
    <w:sdt>
      <w:sdtPr>
        <w:docPartObj>
          <w:docPartGallery w:val="Table of Contents"/>
          <w:docPartUnique/>
        </w:docPartObj>
      </w:sdtPr>
      <w:sdtEndPr/>
      <w:sdtContent>
        <w:p>
          <w:pPr>
            <w:pStyle w:val="TOC1"/>
            <w:tabs>
              <w:tab w:pos="10225" w:val="right" w:leader="dot"/>
            </w:tabs>
            <w:spacing w:before="238"/>
            <w:ind w:left="476" w:firstLine="0"/>
          </w:pPr>
          <w:hyperlink w:history="true" w:anchor="_bookmark0">
            <w:r>
              <w:rPr/>
              <w:t>Nationales Vorwort</w:t>
              <w:tab/>
              <w:t>3</w:t>
            </w:r>
          </w:hyperlink>
        </w:p>
        <w:p>
          <w:pPr>
            <w:pStyle w:val="TOC1"/>
            <w:tabs>
              <w:tab w:pos="10226" w:val="right" w:leader="dot"/>
            </w:tabs>
            <w:spacing w:before="120"/>
            <w:ind w:left="476" w:firstLine="0"/>
          </w:pPr>
          <w:hyperlink w:history="true" w:anchor="_bookmark1">
            <w:r>
              <w:rPr/>
              <w:t>Nationaler Anhang NA</w:t>
            </w:r>
            <w:r>
              <w:rPr>
                <w:spacing w:val="-4"/>
              </w:rPr>
              <w:t> </w:t>
            </w:r>
            <w:r>
              <w:rPr/>
              <w:t>(informativ)  Literaturhinweise</w:t>
              <w:tab/>
              <w:t>4</w:t>
            </w:r>
          </w:hyperlink>
        </w:p>
        <w:p>
          <w:pPr>
            <w:pStyle w:val="TOC1"/>
            <w:numPr>
              <w:ilvl w:val="0"/>
              <w:numId w:val="1"/>
            </w:numPr>
            <w:tabs>
              <w:tab w:pos="1184" w:val="left" w:leader="none"/>
              <w:tab w:pos="1185" w:val="left" w:leader="none"/>
              <w:tab w:pos="10224" w:val="right" w:leader="dot"/>
            </w:tabs>
            <w:spacing w:line="240" w:lineRule="auto" w:before="121" w:after="0"/>
            <w:ind w:left="1184" w:right="0" w:hanging="709"/>
            <w:jc w:val="left"/>
          </w:pPr>
          <w:hyperlink w:history="true" w:anchor="_bookmark2">
            <w:r>
              <w:rPr/>
              <w:t>Einleitung</w:t>
              <w:tab/>
              <w:t>5</w:t>
            </w:r>
          </w:hyperlink>
        </w:p>
        <w:p>
          <w:pPr>
            <w:pStyle w:val="TOC1"/>
            <w:numPr>
              <w:ilvl w:val="1"/>
              <w:numId w:val="1"/>
            </w:numPr>
            <w:tabs>
              <w:tab w:pos="1196" w:val="left" w:leader="none"/>
              <w:tab w:pos="1197" w:val="left" w:leader="none"/>
              <w:tab w:pos="10225" w:val="right" w:leader="dot"/>
            </w:tabs>
            <w:spacing w:line="240" w:lineRule="auto" w:before="120" w:after="0"/>
            <w:ind w:left="1196" w:right="0" w:hanging="721"/>
            <w:jc w:val="left"/>
          </w:pPr>
          <w:hyperlink w:history="true" w:anchor="_bookmark3">
            <w:r>
              <w:rPr/>
              <w:t>Allgemeines</w:t>
              <w:tab/>
              <w:t>5</w:t>
            </w:r>
          </w:hyperlink>
        </w:p>
        <w:p>
          <w:pPr>
            <w:pStyle w:val="TOC1"/>
            <w:numPr>
              <w:ilvl w:val="1"/>
              <w:numId w:val="1"/>
            </w:numPr>
            <w:tabs>
              <w:tab w:pos="1196" w:val="left" w:leader="none"/>
              <w:tab w:pos="1197" w:val="left" w:leader="none"/>
              <w:tab w:pos="10227" w:val="right" w:leader="dot"/>
            </w:tabs>
            <w:spacing w:line="240" w:lineRule="auto" w:before="118" w:after="0"/>
            <w:ind w:left="1196" w:right="0" w:hanging="721"/>
            <w:jc w:val="left"/>
          </w:pPr>
          <w:hyperlink w:history="true" w:anchor="_bookmark4">
            <w:r>
              <w:rPr/>
              <w:t>Kompatibilität mit anderen Normen</w:t>
            </w:r>
            <w:r>
              <w:rPr>
                <w:spacing w:val="-3"/>
              </w:rPr>
              <w:t> </w:t>
            </w:r>
            <w:r>
              <w:rPr/>
              <w:t>für</w:t>
            </w:r>
            <w:r>
              <w:rPr>
                <w:spacing w:val="-2"/>
              </w:rPr>
              <w:t> </w:t>
            </w:r>
            <w:r>
              <w:rPr/>
              <w:t>Managementsysteme</w:t>
              <w:tab/>
              <w:t>5</w:t>
            </w:r>
          </w:hyperlink>
        </w:p>
        <w:p>
          <w:pPr>
            <w:pStyle w:val="TOC1"/>
            <w:numPr>
              <w:ilvl w:val="0"/>
              <w:numId w:val="1"/>
            </w:numPr>
            <w:tabs>
              <w:tab w:pos="1196" w:val="left" w:leader="none"/>
              <w:tab w:pos="1197" w:val="left" w:leader="none"/>
              <w:tab w:pos="10225" w:val="right" w:leader="dot"/>
            </w:tabs>
            <w:spacing w:line="240" w:lineRule="auto" w:before="120" w:after="0"/>
            <w:ind w:left="1196" w:right="0" w:hanging="721"/>
            <w:jc w:val="left"/>
          </w:pPr>
          <w:hyperlink w:history="true" w:anchor="_bookmark5">
            <w:r>
              <w:rPr/>
              <w:t>Anwendungsbereich</w:t>
              <w:tab/>
              <w:t>6</w:t>
            </w:r>
          </w:hyperlink>
        </w:p>
        <w:p>
          <w:pPr>
            <w:pStyle w:val="TOC1"/>
            <w:numPr>
              <w:ilvl w:val="0"/>
              <w:numId w:val="1"/>
            </w:numPr>
            <w:tabs>
              <w:tab w:pos="1196" w:val="left" w:leader="none"/>
              <w:tab w:pos="1197" w:val="left" w:leader="none"/>
              <w:tab w:pos="10225" w:val="right" w:leader="dot"/>
            </w:tabs>
            <w:spacing w:line="240" w:lineRule="auto" w:before="121" w:after="0"/>
            <w:ind w:left="1196" w:right="0" w:hanging="721"/>
            <w:jc w:val="left"/>
          </w:pPr>
          <w:hyperlink w:history="true" w:anchor="_bookmark6">
            <w:r>
              <w:rPr/>
              <w:t>Normative</w:t>
            </w:r>
            <w:r>
              <w:rPr>
                <w:spacing w:val="-2"/>
              </w:rPr>
              <w:t> </w:t>
            </w:r>
            <w:r>
              <w:rPr/>
              <w:t>Verweisungen</w:t>
              <w:tab/>
              <w:t>6</w:t>
            </w:r>
          </w:hyperlink>
        </w:p>
        <w:p>
          <w:pPr>
            <w:pStyle w:val="TOC1"/>
            <w:numPr>
              <w:ilvl w:val="0"/>
              <w:numId w:val="1"/>
            </w:numPr>
            <w:tabs>
              <w:tab w:pos="1196" w:val="left" w:leader="none"/>
              <w:tab w:pos="1197" w:val="left" w:leader="none"/>
              <w:tab w:pos="10224" w:val="right" w:leader="dot"/>
            </w:tabs>
            <w:spacing w:line="240" w:lineRule="auto" w:before="120" w:after="0"/>
            <w:ind w:left="1196" w:right="0" w:hanging="721"/>
            <w:jc w:val="left"/>
          </w:pPr>
          <w:hyperlink w:history="true" w:anchor="_bookmark7">
            <w:r>
              <w:rPr/>
              <w:t>Begriffe</w:t>
              <w:tab/>
              <w:t>6</w:t>
            </w:r>
          </w:hyperlink>
        </w:p>
        <w:p>
          <w:pPr>
            <w:pStyle w:val="TOC1"/>
            <w:numPr>
              <w:ilvl w:val="0"/>
              <w:numId w:val="1"/>
            </w:numPr>
            <w:tabs>
              <w:tab w:pos="1196" w:val="left" w:leader="none"/>
              <w:tab w:pos="1197" w:val="left" w:leader="none"/>
              <w:tab w:pos="10225" w:val="right" w:leader="dot"/>
            </w:tabs>
            <w:spacing w:line="240" w:lineRule="auto" w:before="121" w:after="0"/>
            <w:ind w:left="1196" w:right="0" w:hanging="721"/>
            <w:jc w:val="left"/>
          </w:pPr>
          <w:hyperlink w:history="true" w:anchor="_bookmark8">
            <w:r>
              <w:rPr/>
              <w:t>Kontext</w:t>
            </w:r>
            <w:r>
              <w:rPr>
                <w:spacing w:val="-1"/>
              </w:rPr>
              <w:t> </w:t>
            </w:r>
            <w:r>
              <w:rPr/>
              <w:t>der</w:t>
            </w:r>
            <w:r>
              <w:rPr>
                <w:spacing w:val="-2"/>
              </w:rPr>
              <w:t> </w:t>
            </w:r>
            <w:r>
              <w:rPr/>
              <w:t>Organisation</w:t>
              <w:tab/>
              <w:t>6</w:t>
            </w:r>
          </w:hyperlink>
        </w:p>
        <w:p>
          <w:pPr>
            <w:pStyle w:val="TOC1"/>
            <w:numPr>
              <w:ilvl w:val="1"/>
              <w:numId w:val="1"/>
            </w:numPr>
            <w:tabs>
              <w:tab w:pos="1196" w:val="left" w:leader="none"/>
              <w:tab w:pos="1197" w:val="left" w:leader="none"/>
              <w:tab w:pos="10226" w:val="right" w:leader="dot"/>
            </w:tabs>
            <w:spacing w:line="229" w:lineRule="exact" w:before="0" w:after="0"/>
            <w:ind w:left="1196" w:right="0" w:hanging="721"/>
            <w:jc w:val="left"/>
          </w:pPr>
          <w:hyperlink w:history="true" w:anchor="_bookmark9">
            <w:r>
              <w:rPr/>
              <w:t>Verstehen der Organisation und</w:t>
            </w:r>
            <w:r>
              <w:rPr>
                <w:spacing w:val="-4"/>
              </w:rPr>
              <w:t> </w:t>
            </w:r>
            <w:r>
              <w:rPr/>
              <w:t>ihres</w:t>
            </w:r>
            <w:r>
              <w:rPr>
                <w:spacing w:val="-1"/>
              </w:rPr>
              <w:t> </w:t>
            </w:r>
            <w:r>
              <w:rPr/>
              <w:t>Kontextes</w:t>
              <w:tab/>
              <w:t>6</w:t>
            </w:r>
          </w:hyperlink>
        </w:p>
        <w:p>
          <w:pPr>
            <w:pStyle w:val="TOC1"/>
            <w:numPr>
              <w:ilvl w:val="1"/>
              <w:numId w:val="1"/>
            </w:numPr>
            <w:tabs>
              <w:tab w:pos="1196" w:val="left" w:leader="none"/>
              <w:tab w:pos="1197" w:val="left" w:leader="none"/>
              <w:tab w:pos="10227" w:val="right" w:leader="dot"/>
            </w:tabs>
            <w:spacing w:line="229" w:lineRule="exact" w:before="0" w:after="0"/>
            <w:ind w:left="1196" w:right="0" w:hanging="721"/>
            <w:jc w:val="left"/>
          </w:pPr>
          <w:hyperlink w:history="true" w:anchor="_bookmark10">
            <w:r>
              <w:rPr/>
              <w:t>Verstehen der Erfordernisse und Erwartungen</w:t>
            </w:r>
            <w:r>
              <w:rPr>
                <w:spacing w:val="-2"/>
              </w:rPr>
              <w:t> </w:t>
            </w:r>
            <w:r>
              <w:rPr/>
              <w:t>interessierter Parteien</w:t>
              <w:tab/>
              <w:t>6</w:t>
            </w:r>
          </w:hyperlink>
        </w:p>
        <w:p>
          <w:pPr>
            <w:pStyle w:val="TOC1"/>
            <w:numPr>
              <w:ilvl w:val="1"/>
              <w:numId w:val="1"/>
            </w:numPr>
            <w:tabs>
              <w:tab w:pos="1196" w:val="left" w:leader="none"/>
              <w:tab w:pos="1197" w:val="left" w:leader="none"/>
              <w:tab w:pos="10228" w:val="right" w:leader="dot"/>
            </w:tabs>
            <w:spacing w:line="240" w:lineRule="auto" w:before="1" w:after="0"/>
            <w:ind w:left="1196" w:right="0" w:hanging="721"/>
            <w:jc w:val="left"/>
          </w:pPr>
          <w:hyperlink w:history="true" w:anchor="_bookmark11">
            <w:r>
              <w:rPr/>
              <w:t>Festlegen des Anwendungsbereichs</w:t>
            </w:r>
            <w:r>
              <w:rPr>
                <w:spacing w:val="-7"/>
              </w:rPr>
              <w:t> </w:t>
            </w:r>
            <w:r>
              <w:rPr/>
              <w:t>des</w:t>
            </w:r>
            <w:r>
              <w:rPr>
                <w:spacing w:val="-4"/>
              </w:rPr>
              <w:t> </w:t>
            </w:r>
            <w:r>
              <w:rPr/>
              <w:t>Informationssicherheitsmanagementsystems</w:t>
              <w:tab/>
              <w:t>7</w:t>
            </w:r>
          </w:hyperlink>
        </w:p>
        <w:p>
          <w:pPr>
            <w:pStyle w:val="TOC1"/>
            <w:numPr>
              <w:ilvl w:val="1"/>
              <w:numId w:val="1"/>
            </w:numPr>
            <w:tabs>
              <w:tab w:pos="1196" w:val="left" w:leader="none"/>
              <w:tab w:pos="1197" w:val="left" w:leader="none"/>
              <w:tab w:pos="10226" w:val="right" w:leader="dot"/>
            </w:tabs>
            <w:spacing w:line="240" w:lineRule="auto" w:before="0" w:after="0"/>
            <w:ind w:left="1196" w:right="0" w:hanging="721"/>
            <w:jc w:val="left"/>
          </w:pPr>
          <w:hyperlink w:history="true" w:anchor="_bookmark12">
            <w:r>
              <w:rPr/>
              <w:t>Informationssicherheitsmanagementsystem</w:t>
              <w:tab/>
              <w:t>7</w:t>
            </w:r>
          </w:hyperlink>
        </w:p>
        <w:p>
          <w:pPr>
            <w:pStyle w:val="TOC1"/>
            <w:numPr>
              <w:ilvl w:val="0"/>
              <w:numId w:val="1"/>
            </w:numPr>
            <w:tabs>
              <w:tab w:pos="1196" w:val="left" w:leader="none"/>
              <w:tab w:pos="1197" w:val="left" w:leader="none"/>
              <w:tab w:pos="10224" w:val="right" w:leader="dot"/>
            </w:tabs>
            <w:spacing w:line="240" w:lineRule="auto" w:before="120" w:after="0"/>
            <w:ind w:left="1196" w:right="0" w:hanging="721"/>
            <w:jc w:val="left"/>
          </w:pPr>
          <w:hyperlink w:history="true" w:anchor="_bookmark13">
            <w:r>
              <w:rPr/>
              <w:t>Führung</w:t>
              <w:tab/>
              <w:t>7</w:t>
            </w:r>
          </w:hyperlink>
        </w:p>
        <w:p>
          <w:pPr>
            <w:pStyle w:val="TOC1"/>
            <w:numPr>
              <w:ilvl w:val="1"/>
              <w:numId w:val="1"/>
            </w:numPr>
            <w:tabs>
              <w:tab w:pos="1196" w:val="left" w:leader="none"/>
              <w:tab w:pos="1197" w:val="left" w:leader="none"/>
              <w:tab w:pos="10225" w:val="right" w:leader="dot"/>
            </w:tabs>
            <w:spacing w:line="240" w:lineRule="auto" w:before="1" w:after="0"/>
            <w:ind w:left="1196" w:right="0" w:hanging="721"/>
            <w:jc w:val="left"/>
          </w:pPr>
          <w:hyperlink w:history="true" w:anchor="_bookmark14">
            <w:r>
              <w:rPr/>
              <w:t>Führung</w:t>
            </w:r>
            <w:r>
              <w:rPr>
                <w:spacing w:val="-1"/>
              </w:rPr>
              <w:t> </w:t>
            </w:r>
            <w:r>
              <w:rPr/>
              <w:t>und Verpflichtung</w:t>
              <w:tab/>
              <w:t>7</w:t>
            </w:r>
          </w:hyperlink>
        </w:p>
        <w:p>
          <w:pPr>
            <w:pStyle w:val="TOC1"/>
            <w:numPr>
              <w:ilvl w:val="1"/>
              <w:numId w:val="1"/>
            </w:numPr>
            <w:tabs>
              <w:tab w:pos="1196" w:val="left" w:leader="none"/>
              <w:tab w:pos="1197" w:val="left" w:leader="none"/>
              <w:tab w:pos="10225" w:val="right" w:leader="dot"/>
            </w:tabs>
            <w:spacing w:line="229" w:lineRule="exact" w:before="0" w:after="0"/>
            <w:ind w:left="1196" w:right="0" w:hanging="721"/>
            <w:jc w:val="left"/>
          </w:pPr>
          <w:hyperlink w:history="true" w:anchor="_bookmark15">
            <w:r>
              <w:rPr/>
              <w:t>Politik</w:t>
              <w:tab/>
              <w:t>8</w:t>
            </w:r>
          </w:hyperlink>
        </w:p>
        <w:p>
          <w:pPr>
            <w:pStyle w:val="TOC1"/>
            <w:numPr>
              <w:ilvl w:val="1"/>
              <w:numId w:val="1"/>
            </w:numPr>
            <w:tabs>
              <w:tab w:pos="1196" w:val="left" w:leader="none"/>
              <w:tab w:pos="1197" w:val="left" w:leader="none"/>
              <w:tab w:pos="10227" w:val="right" w:leader="dot"/>
            </w:tabs>
            <w:spacing w:line="229" w:lineRule="exact" w:before="0" w:after="0"/>
            <w:ind w:left="1196" w:right="0" w:hanging="721"/>
            <w:jc w:val="left"/>
          </w:pPr>
          <w:hyperlink w:history="true" w:anchor="_bookmark16">
            <w:r>
              <w:rPr/>
              <w:t>Rollen, Verantwortlichkeiten und Befugnisse in</w:t>
            </w:r>
            <w:r>
              <w:rPr>
                <w:spacing w:val="-4"/>
              </w:rPr>
              <w:t> </w:t>
            </w:r>
            <w:r>
              <w:rPr/>
              <w:t>der Organisation</w:t>
              <w:tab/>
              <w:t>8</w:t>
            </w:r>
          </w:hyperlink>
        </w:p>
        <w:p>
          <w:pPr>
            <w:pStyle w:val="TOC1"/>
            <w:numPr>
              <w:ilvl w:val="0"/>
              <w:numId w:val="1"/>
            </w:numPr>
            <w:tabs>
              <w:tab w:pos="1196" w:val="left" w:leader="none"/>
              <w:tab w:pos="1197" w:val="left" w:leader="none"/>
              <w:tab w:pos="10224" w:val="right" w:leader="dot"/>
            </w:tabs>
            <w:spacing w:line="240" w:lineRule="auto" w:before="121" w:after="0"/>
            <w:ind w:left="1196" w:right="0" w:hanging="721"/>
            <w:jc w:val="left"/>
          </w:pPr>
          <w:hyperlink w:history="true" w:anchor="_bookmark17">
            <w:r>
              <w:rPr/>
              <w:t>Planung</w:t>
              <w:tab/>
              <w:t>8</w:t>
            </w:r>
          </w:hyperlink>
        </w:p>
        <w:p>
          <w:pPr>
            <w:pStyle w:val="TOC1"/>
            <w:numPr>
              <w:ilvl w:val="1"/>
              <w:numId w:val="1"/>
            </w:numPr>
            <w:tabs>
              <w:tab w:pos="1196" w:val="left" w:leader="none"/>
              <w:tab w:pos="1197" w:val="left" w:leader="none"/>
              <w:tab w:pos="10226" w:val="right" w:leader="dot"/>
            </w:tabs>
            <w:spacing w:line="240" w:lineRule="auto" w:before="0" w:after="0"/>
            <w:ind w:left="1196" w:right="0" w:hanging="721"/>
            <w:jc w:val="left"/>
          </w:pPr>
          <w:hyperlink w:history="true" w:anchor="_bookmark18">
            <w:r>
              <w:rPr/>
              <w:t>Maßnahmen zum Umgang mit Risiken</w:t>
            </w:r>
            <w:r>
              <w:rPr>
                <w:spacing w:val="-2"/>
              </w:rPr>
              <w:t> </w:t>
            </w:r>
            <w:r>
              <w:rPr/>
              <w:t>und Chancen</w:t>
              <w:tab/>
              <w:t>8</w:t>
            </w:r>
          </w:hyperlink>
        </w:p>
        <w:p>
          <w:pPr>
            <w:pStyle w:val="TOC1"/>
            <w:numPr>
              <w:ilvl w:val="1"/>
              <w:numId w:val="1"/>
            </w:numPr>
            <w:tabs>
              <w:tab w:pos="1196" w:val="left" w:leader="none"/>
              <w:tab w:pos="1197" w:val="left" w:leader="none"/>
              <w:tab w:pos="10225" w:val="right" w:leader="dot"/>
            </w:tabs>
            <w:spacing w:line="240" w:lineRule="auto" w:before="1" w:after="0"/>
            <w:ind w:left="1196" w:right="0" w:hanging="721"/>
            <w:jc w:val="left"/>
          </w:pPr>
          <w:hyperlink w:history="true" w:anchor="_bookmark19">
            <w:r>
              <w:rPr/>
              <w:t>Informationssicherheitsziele und Planung zu</w:t>
            </w:r>
            <w:r>
              <w:rPr>
                <w:spacing w:val="-4"/>
              </w:rPr>
              <w:t> </w:t>
            </w:r>
            <w:r>
              <w:rPr/>
              <w:t>deren</w:t>
            </w:r>
            <w:r>
              <w:rPr>
                <w:spacing w:val="-1"/>
              </w:rPr>
              <w:t> </w:t>
            </w:r>
            <w:r>
              <w:rPr/>
              <w:t>Erreichung</w:t>
              <w:tab/>
              <w:t>10</w:t>
            </w:r>
          </w:hyperlink>
        </w:p>
        <w:p>
          <w:pPr>
            <w:pStyle w:val="TOC1"/>
            <w:numPr>
              <w:ilvl w:val="0"/>
              <w:numId w:val="1"/>
            </w:numPr>
            <w:tabs>
              <w:tab w:pos="1196" w:val="left" w:leader="none"/>
              <w:tab w:pos="1197" w:val="left" w:leader="none"/>
              <w:tab w:pos="10225" w:val="right" w:leader="dot"/>
            </w:tabs>
            <w:spacing w:line="240" w:lineRule="auto" w:before="120" w:after="0"/>
            <w:ind w:left="1196" w:right="0" w:hanging="721"/>
            <w:jc w:val="left"/>
          </w:pPr>
          <w:hyperlink w:history="true" w:anchor="_bookmark20">
            <w:r>
              <w:rPr/>
              <w:t>Unterstützung</w:t>
              <w:tab/>
              <w:t>11</w:t>
            </w:r>
          </w:hyperlink>
        </w:p>
        <w:p>
          <w:pPr>
            <w:pStyle w:val="TOC1"/>
            <w:numPr>
              <w:ilvl w:val="1"/>
              <w:numId w:val="1"/>
            </w:numPr>
            <w:tabs>
              <w:tab w:pos="1196" w:val="left" w:leader="none"/>
              <w:tab w:pos="1197" w:val="left" w:leader="none"/>
              <w:tab w:pos="10225" w:val="right" w:leader="dot"/>
            </w:tabs>
            <w:spacing w:line="229" w:lineRule="exact" w:before="0" w:after="0"/>
            <w:ind w:left="1196" w:right="0" w:hanging="721"/>
            <w:jc w:val="left"/>
          </w:pPr>
          <w:hyperlink w:history="true" w:anchor="_bookmark21">
            <w:r>
              <w:rPr/>
              <w:t>Ressourcen</w:t>
              <w:tab/>
              <w:t>11</w:t>
            </w:r>
          </w:hyperlink>
        </w:p>
        <w:p>
          <w:pPr>
            <w:pStyle w:val="TOC1"/>
            <w:numPr>
              <w:ilvl w:val="1"/>
              <w:numId w:val="1"/>
            </w:numPr>
            <w:tabs>
              <w:tab w:pos="1196" w:val="left" w:leader="none"/>
              <w:tab w:pos="1197" w:val="left" w:leader="none"/>
              <w:tab w:pos="10225" w:val="right" w:leader="dot"/>
            </w:tabs>
            <w:spacing w:line="229" w:lineRule="exact" w:before="0" w:after="0"/>
            <w:ind w:left="1196" w:right="0" w:hanging="721"/>
            <w:jc w:val="left"/>
          </w:pPr>
          <w:hyperlink w:history="true" w:anchor="_bookmark22">
            <w:r>
              <w:rPr/>
              <w:t>Kompetenz</w:t>
              <w:tab/>
              <w:t>11</w:t>
            </w:r>
          </w:hyperlink>
        </w:p>
        <w:p>
          <w:pPr>
            <w:pStyle w:val="TOC1"/>
            <w:numPr>
              <w:ilvl w:val="1"/>
              <w:numId w:val="1"/>
            </w:numPr>
            <w:tabs>
              <w:tab w:pos="1196" w:val="left" w:leader="none"/>
              <w:tab w:pos="1197" w:val="left" w:leader="none"/>
              <w:tab w:pos="10225" w:val="right" w:leader="dot"/>
            </w:tabs>
            <w:spacing w:line="240" w:lineRule="auto" w:before="1" w:after="0"/>
            <w:ind w:left="1196" w:right="0" w:hanging="721"/>
            <w:jc w:val="left"/>
          </w:pPr>
          <w:hyperlink w:history="true" w:anchor="_bookmark23">
            <w:r>
              <w:rPr/>
              <w:t>Bewusstsein</w:t>
              <w:tab/>
              <w:t>11</w:t>
            </w:r>
          </w:hyperlink>
        </w:p>
        <w:p>
          <w:pPr>
            <w:pStyle w:val="TOC1"/>
            <w:numPr>
              <w:ilvl w:val="1"/>
              <w:numId w:val="1"/>
            </w:numPr>
            <w:tabs>
              <w:tab w:pos="1196" w:val="left" w:leader="none"/>
              <w:tab w:pos="1197" w:val="left" w:leader="none"/>
              <w:tab w:pos="10225" w:val="right" w:leader="dot"/>
            </w:tabs>
            <w:spacing w:line="240" w:lineRule="auto" w:before="0" w:after="0"/>
            <w:ind w:left="1196" w:right="0" w:hanging="721"/>
            <w:jc w:val="left"/>
          </w:pPr>
          <w:hyperlink w:history="true" w:anchor="_bookmark24">
            <w:r>
              <w:rPr/>
              <w:t>Kommunikation</w:t>
              <w:tab/>
              <w:t>11</w:t>
            </w:r>
          </w:hyperlink>
        </w:p>
        <w:p>
          <w:pPr>
            <w:pStyle w:val="TOC1"/>
            <w:numPr>
              <w:ilvl w:val="1"/>
              <w:numId w:val="1"/>
            </w:numPr>
            <w:tabs>
              <w:tab w:pos="1196" w:val="left" w:leader="none"/>
              <w:tab w:pos="1197" w:val="left" w:leader="none"/>
              <w:tab w:pos="10225" w:val="right" w:leader="dot"/>
            </w:tabs>
            <w:spacing w:line="240" w:lineRule="auto" w:before="1" w:after="0"/>
            <w:ind w:left="1196" w:right="0" w:hanging="721"/>
            <w:jc w:val="left"/>
          </w:pPr>
          <w:hyperlink w:history="true" w:anchor="_bookmark25">
            <w:r>
              <w:rPr/>
              <w:t>Dokumentierte</w:t>
            </w:r>
            <w:r>
              <w:rPr>
                <w:spacing w:val="-2"/>
              </w:rPr>
              <w:t> </w:t>
            </w:r>
            <w:r>
              <w:rPr/>
              <w:t>Information</w:t>
              <w:tab/>
              <w:t>12</w:t>
            </w:r>
          </w:hyperlink>
        </w:p>
        <w:p>
          <w:pPr>
            <w:pStyle w:val="TOC1"/>
            <w:numPr>
              <w:ilvl w:val="0"/>
              <w:numId w:val="1"/>
            </w:numPr>
            <w:tabs>
              <w:tab w:pos="1196" w:val="left" w:leader="none"/>
              <w:tab w:pos="1197" w:val="left" w:leader="none"/>
              <w:tab w:pos="10225" w:val="right" w:leader="dot"/>
            </w:tabs>
            <w:spacing w:line="240" w:lineRule="auto" w:before="120" w:after="0"/>
            <w:ind w:left="1196" w:right="0" w:hanging="721"/>
            <w:jc w:val="left"/>
          </w:pPr>
          <w:hyperlink w:history="true" w:anchor="_bookmark26">
            <w:r>
              <w:rPr/>
              <w:t>Betrieb</w:t>
              <w:tab/>
              <w:t>13</w:t>
            </w:r>
          </w:hyperlink>
        </w:p>
        <w:p>
          <w:pPr>
            <w:pStyle w:val="TOC1"/>
            <w:numPr>
              <w:ilvl w:val="1"/>
              <w:numId w:val="1"/>
            </w:numPr>
            <w:tabs>
              <w:tab w:pos="1196" w:val="left" w:leader="none"/>
              <w:tab w:pos="1197" w:val="left" w:leader="none"/>
              <w:tab w:pos="10225" w:val="right" w:leader="dot"/>
            </w:tabs>
            <w:spacing w:line="229" w:lineRule="exact" w:before="0" w:after="0"/>
            <w:ind w:left="1196" w:right="0" w:hanging="721"/>
            <w:jc w:val="left"/>
          </w:pPr>
          <w:hyperlink w:history="true" w:anchor="_bookmark27">
            <w:r>
              <w:rPr/>
              <w:t>Betriebliche Planung und</w:t>
            </w:r>
            <w:r>
              <w:rPr>
                <w:spacing w:val="2"/>
              </w:rPr>
              <w:t> </w:t>
            </w:r>
            <w:r>
              <w:rPr/>
              <w:t>Steuerung</w:t>
              <w:tab/>
              <w:t>13</w:t>
            </w:r>
          </w:hyperlink>
        </w:p>
        <w:p>
          <w:pPr>
            <w:pStyle w:val="TOC1"/>
            <w:numPr>
              <w:ilvl w:val="1"/>
              <w:numId w:val="1"/>
            </w:numPr>
            <w:tabs>
              <w:tab w:pos="1196" w:val="left" w:leader="none"/>
              <w:tab w:pos="1197" w:val="left" w:leader="none"/>
              <w:tab w:pos="10225" w:val="right" w:leader="dot"/>
            </w:tabs>
            <w:spacing w:line="229" w:lineRule="exact" w:before="0" w:after="0"/>
            <w:ind w:left="1196" w:right="0" w:hanging="721"/>
            <w:jc w:val="left"/>
          </w:pPr>
          <w:hyperlink w:history="true" w:anchor="_bookmark28">
            <w:r>
              <w:rPr/>
              <w:t>Informationssicherheitsrisikobeurteilung</w:t>
              <w:tab/>
              <w:t>13</w:t>
            </w:r>
          </w:hyperlink>
        </w:p>
        <w:p>
          <w:pPr>
            <w:pStyle w:val="TOC1"/>
            <w:numPr>
              <w:ilvl w:val="1"/>
              <w:numId w:val="1"/>
            </w:numPr>
            <w:tabs>
              <w:tab w:pos="1196" w:val="left" w:leader="none"/>
              <w:tab w:pos="1197" w:val="left" w:leader="none"/>
              <w:tab w:pos="10225" w:val="right" w:leader="dot"/>
            </w:tabs>
            <w:spacing w:line="240" w:lineRule="auto" w:before="1" w:after="0"/>
            <w:ind w:left="1196" w:right="0" w:hanging="721"/>
            <w:jc w:val="left"/>
          </w:pPr>
          <w:hyperlink w:history="true" w:anchor="_bookmark29">
            <w:r>
              <w:rPr/>
              <w:t>Informationssicherheitsrisikobehandlung</w:t>
              <w:tab/>
              <w:t>13</w:t>
            </w:r>
          </w:hyperlink>
        </w:p>
        <w:p>
          <w:pPr>
            <w:pStyle w:val="TOC1"/>
            <w:numPr>
              <w:ilvl w:val="0"/>
              <w:numId w:val="1"/>
            </w:numPr>
            <w:tabs>
              <w:tab w:pos="1196" w:val="left" w:leader="none"/>
              <w:tab w:pos="1197" w:val="left" w:leader="none"/>
              <w:tab w:pos="10225" w:val="right" w:leader="dot"/>
            </w:tabs>
            <w:spacing w:line="240" w:lineRule="auto" w:before="120" w:after="0"/>
            <w:ind w:left="1196" w:right="0" w:hanging="721"/>
            <w:jc w:val="left"/>
          </w:pPr>
          <w:hyperlink w:history="true" w:anchor="_bookmark30">
            <w:r>
              <w:rPr/>
              <w:t>Bewertung</w:t>
            </w:r>
            <w:r>
              <w:rPr>
                <w:spacing w:val="-1"/>
              </w:rPr>
              <w:t> </w:t>
            </w:r>
            <w:r>
              <w:rPr/>
              <w:t>der</w:t>
            </w:r>
            <w:r>
              <w:rPr>
                <w:spacing w:val="-2"/>
              </w:rPr>
              <w:t> </w:t>
            </w:r>
            <w:r>
              <w:rPr/>
              <w:t>Leistung</w:t>
              <w:tab/>
              <w:t>13</w:t>
            </w:r>
          </w:hyperlink>
        </w:p>
        <w:p>
          <w:pPr>
            <w:pStyle w:val="TOC1"/>
            <w:numPr>
              <w:ilvl w:val="1"/>
              <w:numId w:val="1"/>
            </w:numPr>
            <w:tabs>
              <w:tab w:pos="1196" w:val="left" w:leader="none"/>
              <w:tab w:pos="1197" w:val="left" w:leader="none"/>
              <w:tab w:pos="10225" w:val="right" w:leader="dot"/>
            </w:tabs>
            <w:spacing w:line="240" w:lineRule="auto" w:before="1" w:after="0"/>
            <w:ind w:left="1196" w:right="0" w:hanging="721"/>
            <w:jc w:val="left"/>
          </w:pPr>
          <w:hyperlink w:history="true" w:anchor="_bookmark31">
            <w:r>
              <w:rPr/>
              <w:t>Überwachung, Messung, Analyse</w:t>
            </w:r>
            <w:r>
              <w:rPr>
                <w:spacing w:val="-4"/>
              </w:rPr>
              <w:t> </w:t>
            </w:r>
            <w:r>
              <w:rPr/>
              <w:t>und Bewertung</w:t>
              <w:tab/>
              <w:t>13</w:t>
            </w:r>
          </w:hyperlink>
        </w:p>
        <w:p>
          <w:pPr>
            <w:pStyle w:val="TOC1"/>
            <w:numPr>
              <w:ilvl w:val="1"/>
              <w:numId w:val="1"/>
            </w:numPr>
            <w:tabs>
              <w:tab w:pos="1196" w:val="left" w:leader="none"/>
              <w:tab w:pos="1197" w:val="left" w:leader="none"/>
              <w:tab w:pos="10225" w:val="right" w:leader="dot"/>
            </w:tabs>
            <w:spacing w:line="240" w:lineRule="auto" w:before="0" w:after="0"/>
            <w:ind w:left="1196" w:right="0" w:hanging="721"/>
            <w:jc w:val="left"/>
          </w:pPr>
          <w:hyperlink w:history="true" w:anchor="_bookmark32">
            <w:r>
              <w:rPr/>
              <w:t>Internes</w:t>
            </w:r>
            <w:r>
              <w:rPr>
                <w:spacing w:val="2"/>
              </w:rPr>
              <w:t> </w:t>
            </w:r>
            <w:r>
              <w:rPr/>
              <w:t>Audit</w:t>
              <w:tab/>
              <w:t>14</w:t>
            </w:r>
          </w:hyperlink>
        </w:p>
        <w:p>
          <w:pPr>
            <w:pStyle w:val="TOC1"/>
            <w:numPr>
              <w:ilvl w:val="1"/>
              <w:numId w:val="1"/>
            </w:numPr>
            <w:tabs>
              <w:tab w:pos="1196" w:val="left" w:leader="none"/>
              <w:tab w:pos="1197" w:val="left" w:leader="none"/>
              <w:tab w:pos="10225" w:val="right" w:leader="dot"/>
            </w:tabs>
            <w:spacing w:line="240" w:lineRule="auto" w:before="1" w:after="0"/>
            <w:ind w:left="1196" w:right="0" w:hanging="721"/>
            <w:jc w:val="left"/>
          </w:pPr>
          <w:hyperlink w:history="true" w:anchor="_bookmark33">
            <w:r>
              <w:rPr/>
              <w:t>Managementbewertung</w:t>
              <w:tab/>
              <w:t>14</w:t>
            </w:r>
          </w:hyperlink>
        </w:p>
        <w:p>
          <w:pPr>
            <w:pStyle w:val="TOC1"/>
            <w:numPr>
              <w:ilvl w:val="0"/>
              <w:numId w:val="1"/>
            </w:numPr>
            <w:tabs>
              <w:tab w:pos="1196" w:val="left" w:leader="none"/>
              <w:tab w:pos="1197" w:val="left" w:leader="none"/>
              <w:tab w:pos="10225" w:val="right" w:leader="dot"/>
            </w:tabs>
            <w:spacing w:line="240" w:lineRule="auto" w:before="118" w:after="0"/>
            <w:ind w:left="1196" w:right="0" w:hanging="721"/>
            <w:jc w:val="left"/>
          </w:pPr>
          <w:hyperlink w:history="true" w:anchor="_bookmark34">
            <w:r>
              <w:rPr/>
              <w:t>Verbesserung</w:t>
              <w:tab/>
              <w:t>15</w:t>
            </w:r>
          </w:hyperlink>
        </w:p>
        <w:p>
          <w:pPr>
            <w:pStyle w:val="TOC1"/>
            <w:numPr>
              <w:ilvl w:val="1"/>
              <w:numId w:val="1"/>
            </w:numPr>
            <w:tabs>
              <w:tab w:pos="1196" w:val="left" w:leader="none"/>
              <w:tab w:pos="1197" w:val="left" w:leader="none"/>
              <w:tab w:pos="10225" w:val="right" w:leader="dot"/>
            </w:tabs>
            <w:spacing w:line="240" w:lineRule="auto" w:before="0" w:after="0"/>
            <w:ind w:left="1196" w:right="0" w:hanging="721"/>
            <w:jc w:val="left"/>
          </w:pPr>
          <w:hyperlink w:history="true" w:anchor="_bookmark35">
            <w:r>
              <w:rPr/>
              <w:t>Nichtkonformität</w:t>
            </w:r>
            <w:r>
              <w:rPr>
                <w:spacing w:val="-1"/>
              </w:rPr>
              <w:t> </w:t>
            </w:r>
            <w:r>
              <w:rPr/>
              <w:t>und Korrekturmaßnahmen</w:t>
              <w:tab/>
              <w:t>15</w:t>
            </w:r>
          </w:hyperlink>
        </w:p>
        <w:p>
          <w:pPr>
            <w:pStyle w:val="TOC1"/>
            <w:numPr>
              <w:ilvl w:val="1"/>
              <w:numId w:val="1"/>
            </w:numPr>
            <w:tabs>
              <w:tab w:pos="1196" w:val="left" w:leader="none"/>
              <w:tab w:pos="1197" w:val="left" w:leader="none"/>
              <w:tab w:pos="10225" w:val="right" w:leader="dot"/>
            </w:tabs>
            <w:spacing w:line="240" w:lineRule="auto" w:before="0" w:after="0"/>
            <w:ind w:left="1196" w:right="0" w:hanging="721"/>
            <w:jc w:val="left"/>
          </w:pPr>
          <w:hyperlink w:history="true" w:anchor="_bookmark36">
            <w:r>
              <w:rPr/>
              <w:t>Fortlaufende</w:t>
            </w:r>
            <w:r>
              <w:rPr>
                <w:spacing w:val="-2"/>
              </w:rPr>
              <w:t> </w:t>
            </w:r>
            <w:r>
              <w:rPr/>
              <w:t>Verbesserung</w:t>
              <w:tab/>
              <w:t>15</w:t>
            </w:r>
          </w:hyperlink>
        </w:p>
        <w:p>
          <w:pPr>
            <w:pStyle w:val="TOC1"/>
            <w:tabs>
              <w:tab w:pos="10225" w:val="right" w:leader="dot"/>
            </w:tabs>
            <w:spacing w:before="121"/>
            <w:ind w:left="476" w:firstLine="0"/>
          </w:pPr>
          <w:hyperlink w:history="true" w:anchor="_bookmark37">
            <w:r>
              <w:rPr/>
              <w:t>Anhang A (normativ)  Referenzmaßnahmenziele</w:t>
            </w:r>
            <w:r>
              <w:rPr>
                <w:spacing w:val="-4"/>
              </w:rPr>
              <w:t> </w:t>
            </w:r>
            <w:r>
              <w:rPr/>
              <w:t>und</w:t>
            </w:r>
            <w:r>
              <w:rPr>
                <w:spacing w:val="2"/>
              </w:rPr>
              <w:t> </w:t>
            </w:r>
            <w:r>
              <w:rPr/>
              <w:t>-maßnahmen</w:t>
              <w:tab/>
              <w:t>16</w:t>
            </w:r>
          </w:hyperlink>
        </w:p>
        <w:p>
          <w:pPr>
            <w:pStyle w:val="TOC1"/>
            <w:tabs>
              <w:tab w:pos="10225" w:val="right" w:leader="dot"/>
            </w:tabs>
            <w:spacing w:before="120"/>
            <w:ind w:left="476" w:firstLine="0"/>
          </w:pPr>
          <w:r>
            <w:rPr/>
            <w:pict>
              <v:shape style="position:absolute;margin-left:9.663086pt;margin-top:39.770428pt;width:9.85pt;height:83.7pt;mso-position-horizontal-relative:page;mso-position-vertical-relative:paragraph;z-index:251659264" type="#_x0000_t202" filled="false" stroked="false">
                <v:textbox inset="0,0,0,0" style="layout-flow:vertical;mso-layout-flow-alt:bottom-to-top">
                  <w:txbxContent>
                    <w:p>
                      <w:pPr>
                        <w:spacing w:before="15"/>
                        <w:ind w:left="20" w:right="0" w:firstLine="0"/>
                        <w:jc w:val="left"/>
                        <w:rPr>
                          <w:b/>
                          <w:i/>
                          <w:sz w:val="14"/>
                        </w:rPr>
                      </w:pPr>
                      <w:hyperlink w:history="true" w:anchor="_bookmark5">
                        <w:r>
                          <w:rPr>
                            <w:b/>
                            <w:i/>
                            <w:color w:val="4C4C4C"/>
                            <w:sz w:val="14"/>
                          </w:rPr>
                          <w:t>NormCD - Stand 2015-03</w:t>
                        </w:r>
                      </w:hyperlink>
                    </w:p>
                  </w:txbxContent>
                </v:textbox>
                <w10:wrap type="none"/>
              </v:shape>
            </w:pict>
          </w:r>
          <w:hyperlink w:history="true" w:anchor="_bookmark42">
            <w:r>
              <w:rPr/>
              <w:t>Literaturhinweise</w:t>
              <w:tab/>
              <w:t>31</w:t>
            </w:r>
          </w:hyperlink>
        </w:p>
      </w:sdtContent>
    </w:sdt>
    <w:p>
      <w:pPr>
        <w:spacing w:after="0"/>
        <w:sectPr>
          <w:headerReference w:type="even" r:id="rId7"/>
          <w:headerReference w:type="default" r:id="rId8"/>
          <w:footerReference w:type="even" r:id="rId9"/>
          <w:pgSz w:w="11910" w:h="16840"/>
          <w:pgMar w:header="710" w:footer="120" w:top="1540" w:bottom="320" w:left="260" w:right="540"/>
          <w:pgNumType w:start="2"/>
        </w:sectPr>
      </w:pPr>
    </w:p>
    <w:p>
      <w:pPr>
        <w:pStyle w:val="BodyText"/>
        <w:rPr>
          <w:b/>
        </w:rPr>
      </w:pPr>
    </w:p>
    <w:p>
      <w:pPr>
        <w:pStyle w:val="BodyText"/>
        <w:rPr>
          <w:b/>
        </w:rPr>
      </w:pPr>
    </w:p>
    <w:p>
      <w:pPr>
        <w:pStyle w:val="BodyText"/>
        <w:spacing w:before="3"/>
        <w:rPr>
          <w:b/>
          <w:sz w:val="22"/>
        </w:rPr>
      </w:pPr>
    </w:p>
    <w:p>
      <w:pPr>
        <w:pStyle w:val="Heading1"/>
        <w:spacing w:before="91"/>
        <w:ind w:left="1156"/>
        <w:jc w:val="both"/>
      </w:pPr>
      <w:bookmarkStart w:name="Nationales Vorwort" w:id="3"/>
      <w:bookmarkEnd w:id="3"/>
      <w:r>
        <w:rPr>
          <w:b w:val="0"/>
        </w:rPr>
      </w:r>
      <w:bookmarkStart w:name="_bookmark0" w:id="4"/>
      <w:bookmarkEnd w:id="4"/>
      <w:r>
        <w:rPr>
          <w:b w:val="0"/>
        </w:rPr>
      </w:r>
      <w:r>
        <w:rPr/>
        <w:t>Nationales Vorwort</w:t>
      </w:r>
    </w:p>
    <w:p>
      <w:pPr>
        <w:pStyle w:val="BodyText"/>
        <w:spacing w:before="9"/>
        <w:rPr>
          <w:b/>
          <w:sz w:val="26"/>
        </w:rPr>
      </w:pPr>
    </w:p>
    <w:p>
      <w:pPr>
        <w:pStyle w:val="BodyText"/>
        <w:ind w:left="1155" w:right="198"/>
        <w:jc w:val="both"/>
      </w:pPr>
      <w:r>
        <w:rPr/>
        <w:t>Dieses Dokument wurde vom DIN-Normenausschuss Informationstechnik und Anwendungen (NIA) in Zusammenarbeit mit dem Austrian Standards Institute (ASI) und der Schweizerischen Normenvereinigung (SNV) erarbeitet.</w:t>
      </w:r>
    </w:p>
    <w:p>
      <w:pPr>
        <w:pStyle w:val="BodyText"/>
        <w:spacing w:before="11"/>
      </w:pPr>
    </w:p>
    <w:p>
      <w:pPr>
        <w:pStyle w:val="BodyText"/>
        <w:ind w:left="1155" w:right="196"/>
        <w:jc w:val="both"/>
      </w:pPr>
      <w:r>
        <w:rPr/>
        <w:t>Die Internationale Norm ISO/IEC 27001:2013 + Cor. 1:2014 wurde in deutscher Sprachfassung unverändert  in das Deutsche Normenwerk übernommen. Fachlich zuständig ist für diese Deutsche Norm der Arbeitsausschuss NA 043-01-27 AA „IT-Sicherheitsverfahren“ des DIN-Normenausschusses Informationstechnik und Anwendungen</w:t>
      </w:r>
      <w:r>
        <w:rPr>
          <w:spacing w:val="2"/>
        </w:rPr>
        <w:t> </w:t>
      </w:r>
      <w:r>
        <w:rPr/>
        <w:t>(NIA).</w:t>
      </w:r>
    </w:p>
    <w:p>
      <w:pPr>
        <w:pStyle w:val="BodyText"/>
        <w:spacing w:before="9"/>
      </w:pPr>
    </w:p>
    <w:p>
      <w:pPr>
        <w:pStyle w:val="BodyText"/>
        <w:spacing w:before="1"/>
        <w:ind w:left="1155" w:right="197"/>
        <w:jc w:val="both"/>
      </w:pPr>
      <w:r>
        <w:rPr/>
        <w:t>Die dieser Norm zugrunde liegende Internationale Norm ISO/IEC 27001 wurde von ISO/IEC JTC 1/SC 27 (International Organization for Standardization/International Electrotechnical Commission – Joint Technical Committee 1 „Information Technology“ / Subcommittee 27 „Security techniques“) erarbeitet.</w:t>
      </w:r>
    </w:p>
    <w:p>
      <w:pPr>
        <w:pStyle w:val="BodyText"/>
        <w:spacing w:before="11"/>
      </w:pPr>
    </w:p>
    <w:p>
      <w:pPr>
        <w:pStyle w:val="BodyText"/>
        <w:ind w:left="1155" w:right="196"/>
        <w:jc w:val="both"/>
      </w:pPr>
      <w:r>
        <w:rPr/>
        <w:t>DIN ISO/IEC 27001 beinhaltet Anforderungen an ein ISMS, das mittelbar zur Informationssicherheit beiträgt. Da das Dokument sehr generisch gehalten ist, um auf alle Organisationen unabhängig von Typ, Größe und Geschäftsfeld anwendbar zu sein, haben diese Anforderungen einen niedrigen technischen Detaillierungs- grad, wobei die Anforderungen an die Prozesse wohl definiert sind.</w:t>
      </w:r>
    </w:p>
    <w:p>
      <w:pPr>
        <w:pStyle w:val="BodyText"/>
        <w:spacing w:before="9"/>
      </w:pPr>
    </w:p>
    <w:p>
      <w:pPr>
        <w:pStyle w:val="BodyText"/>
        <w:ind w:left="1155"/>
        <w:jc w:val="both"/>
      </w:pPr>
      <w:r>
        <w:rPr/>
        <w:t>Der Beginn und das Ende des vom Corrigendum 1 geänderten Textes werden durch die Markierungen</w:t>
      </w:r>
    </w:p>
    <w:p>
      <w:pPr>
        <w:pStyle w:val="BodyText"/>
        <w:spacing w:before="1"/>
        <w:ind w:left="1155"/>
        <w:jc w:val="both"/>
      </w:pPr>
      <w:r>
        <w:rPr>
          <w:spacing w:val="-1"/>
          <w:w w:val="484"/>
        </w:rPr>
        <w:t>˜</w:t>
      </w:r>
      <w:r>
        <w:rPr>
          <w:w w:val="162"/>
        </w:rPr>
        <w:t>™</w:t>
      </w:r>
      <w:r>
        <w:rPr/>
        <w:t> </w:t>
      </w:r>
      <w:r>
        <w:rPr>
          <w:spacing w:val="-10"/>
        </w:rPr>
        <w:t> </w:t>
      </w:r>
      <w:r>
        <w:rPr>
          <w:spacing w:val="-1"/>
          <w:w w:val="99"/>
        </w:rPr>
        <w:t>a</w:t>
      </w:r>
      <w:r>
        <w:rPr>
          <w:spacing w:val="1"/>
          <w:w w:val="99"/>
        </w:rPr>
        <w:t>n</w:t>
      </w:r>
      <w:r>
        <w:rPr>
          <w:spacing w:val="-1"/>
          <w:w w:val="99"/>
        </w:rPr>
        <w:t>g</w:t>
      </w:r>
      <w:r>
        <w:rPr>
          <w:spacing w:val="1"/>
          <w:w w:val="99"/>
        </w:rPr>
        <w:t>e</w:t>
      </w:r>
      <w:r>
        <w:rPr>
          <w:spacing w:val="-2"/>
          <w:w w:val="99"/>
        </w:rPr>
        <w:t>z</w:t>
      </w:r>
      <w:r>
        <w:rPr>
          <w:spacing w:val="1"/>
          <w:w w:val="99"/>
        </w:rPr>
        <w:t>e</w:t>
      </w:r>
      <w:r>
        <w:rPr>
          <w:spacing w:val="-2"/>
          <w:w w:val="99"/>
        </w:rPr>
        <w:t>i</w:t>
      </w:r>
      <w:r>
        <w:rPr>
          <w:spacing w:val="-1"/>
          <w:w w:val="99"/>
        </w:rPr>
        <w:t>gt</w:t>
      </w:r>
      <w:r>
        <w:rPr>
          <w:w w:val="99"/>
        </w:rPr>
        <w:t>.</w:t>
      </w:r>
    </w:p>
    <w:p>
      <w:pPr>
        <w:pStyle w:val="BodyText"/>
        <w:spacing w:before="10"/>
      </w:pPr>
    </w:p>
    <w:p>
      <w:pPr>
        <w:pStyle w:val="BodyText"/>
        <w:ind w:left="1155" w:right="197"/>
        <w:jc w:val="both"/>
      </w:pPr>
      <w:r>
        <w:rPr/>
        <w:t>Für die in diesem Dokument zitierte Internationale Norm wird im Folgenden auf die entsprechende Deutsche Norm</w:t>
      </w:r>
      <w:r>
        <w:rPr>
          <w:spacing w:val="3"/>
        </w:rPr>
        <w:t> </w:t>
      </w:r>
      <w:r>
        <w:rPr/>
        <w:t>hingewiesen:</w:t>
      </w:r>
    </w:p>
    <w:p>
      <w:pPr>
        <w:pStyle w:val="BodyText"/>
        <w:spacing w:before="8"/>
      </w:pPr>
    </w:p>
    <w:p>
      <w:pPr>
        <w:pStyle w:val="BodyText"/>
        <w:tabs>
          <w:tab w:pos="3154" w:val="left" w:leader="none"/>
          <w:tab w:pos="4354" w:val="left" w:leader="none"/>
        </w:tabs>
        <w:spacing w:before="1"/>
        <w:ind w:left="1155"/>
        <w:jc w:val="both"/>
      </w:pPr>
      <w:r>
        <w:rPr/>
        <w:t>ISO/IEC</w:t>
      </w:r>
      <w:r>
        <w:rPr>
          <w:spacing w:val="-4"/>
        </w:rPr>
        <w:t> </w:t>
      </w:r>
      <w:r>
        <w:rPr/>
        <w:t>27000</w:t>
        <w:tab/>
        <w:t>siehe</w:t>
        <w:tab/>
        <w:t>DIN ISO/IEC</w:t>
      </w:r>
      <w:r>
        <w:rPr>
          <w:spacing w:val="1"/>
        </w:rPr>
        <w:t> </w:t>
      </w:r>
      <w:r>
        <w:rPr/>
        <w:t>27000</w:t>
      </w:r>
    </w:p>
    <w:p>
      <w:pPr>
        <w:pStyle w:val="BodyText"/>
        <w:rPr>
          <w:sz w:val="22"/>
        </w:rPr>
      </w:pPr>
    </w:p>
    <w:p>
      <w:pPr>
        <w:pStyle w:val="BodyText"/>
        <w:spacing w:before="6"/>
        <w:rPr>
          <w:sz w:val="19"/>
        </w:rPr>
      </w:pPr>
    </w:p>
    <w:p>
      <w:pPr>
        <w:pStyle w:val="Heading3"/>
        <w:ind w:left="1155" w:firstLine="0"/>
      </w:pPr>
      <w:r>
        <w:rPr/>
        <w:t>Änderungen</w:t>
      </w:r>
    </w:p>
    <w:p>
      <w:pPr>
        <w:pStyle w:val="BodyText"/>
        <w:spacing w:before="1"/>
        <w:rPr>
          <w:b/>
          <w:sz w:val="21"/>
        </w:rPr>
      </w:pPr>
    </w:p>
    <w:p>
      <w:pPr>
        <w:pStyle w:val="BodyText"/>
        <w:ind w:left="1155"/>
      </w:pPr>
      <w:r>
        <w:rPr/>
        <w:t>Gegenüber DIN ISO/IEC 27001:2008-09 wurden folgende Änderungen vorgenommen:</w:t>
      </w:r>
    </w:p>
    <w:p>
      <w:pPr>
        <w:pStyle w:val="BodyText"/>
        <w:spacing w:before="11"/>
      </w:pPr>
    </w:p>
    <w:p>
      <w:pPr>
        <w:pStyle w:val="ListParagraph"/>
        <w:numPr>
          <w:ilvl w:val="2"/>
          <w:numId w:val="1"/>
        </w:numPr>
        <w:tabs>
          <w:tab w:pos="1556" w:val="left" w:leader="none"/>
          <w:tab w:pos="1557" w:val="left" w:leader="none"/>
        </w:tabs>
        <w:spacing w:line="240" w:lineRule="auto" w:before="0" w:after="0"/>
        <w:ind w:left="1556" w:right="199" w:hanging="401"/>
        <w:jc w:val="left"/>
        <w:rPr>
          <w:sz w:val="20"/>
        </w:rPr>
      </w:pPr>
      <w:r>
        <w:rPr>
          <w:sz w:val="20"/>
        </w:rPr>
        <w:t>Anpassung an die neue Struktur für ISO Management System Standards, vorgegeben im Anhang SL der ISO/IEC</w:t>
      </w:r>
      <w:r>
        <w:rPr>
          <w:spacing w:val="-2"/>
          <w:sz w:val="20"/>
        </w:rPr>
        <w:t> </w:t>
      </w:r>
      <w:r>
        <w:rPr>
          <w:sz w:val="20"/>
        </w:rPr>
        <w:t>Direktiven;</w:t>
      </w:r>
    </w:p>
    <w:p>
      <w:pPr>
        <w:pStyle w:val="BodyText"/>
        <w:spacing w:before="8"/>
      </w:pPr>
    </w:p>
    <w:p>
      <w:pPr>
        <w:pStyle w:val="ListParagraph"/>
        <w:numPr>
          <w:ilvl w:val="2"/>
          <w:numId w:val="1"/>
        </w:numPr>
        <w:tabs>
          <w:tab w:pos="1556" w:val="left" w:leader="none"/>
          <w:tab w:pos="1557" w:val="left" w:leader="none"/>
        </w:tabs>
        <w:spacing w:line="240" w:lineRule="auto" w:before="0" w:after="0"/>
        <w:ind w:left="1556" w:right="0" w:hanging="402"/>
        <w:jc w:val="left"/>
        <w:rPr>
          <w:sz w:val="20"/>
        </w:rPr>
      </w:pPr>
      <w:r>
        <w:rPr>
          <w:sz w:val="20"/>
        </w:rPr>
        <w:t>folgende Abschnitte wurden neu</w:t>
      </w:r>
      <w:r>
        <w:rPr>
          <w:spacing w:val="-1"/>
          <w:sz w:val="20"/>
        </w:rPr>
        <w:t> </w:t>
      </w:r>
      <w:r>
        <w:rPr>
          <w:sz w:val="20"/>
        </w:rPr>
        <w:t>aufgenommen:</w:t>
      </w:r>
    </w:p>
    <w:p>
      <w:pPr>
        <w:pStyle w:val="BodyText"/>
        <w:spacing w:before="10"/>
      </w:pPr>
    </w:p>
    <w:p>
      <w:pPr>
        <w:pStyle w:val="BodyText"/>
        <w:spacing w:before="1"/>
        <w:ind w:left="1556"/>
      </w:pPr>
      <w:r>
        <w:rPr/>
        <w:t>4.2(a), 4.3(c), 5.1(b), 6.1.1(a), 6.1.1(b), 6.1.1(c), 6.1.2(a), 6.2, 7.3(a), 7.4(a), 7.4(b), 7.4(c), 7.4(d), 7.4(e),</w:t>
      </w:r>
    </w:p>
    <w:p>
      <w:pPr>
        <w:pStyle w:val="BodyText"/>
        <w:ind w:left="1556"/>
      </w:pPr>
      <w:r>
        <w:rPr/>
        <w:t>7.5.1(b), 8.1, 9.1(c), 9.1(d), 9.1(f), 9.3(4), 10.1(a), 10.1(1), 10.1(2), 10.1(e), 10.1(f);</w:t>
      </w:r>
    </w:p>
    <w:p>
      <w:pPr>
        <w:pStyle w:val="BodyText"/>
        <w:spacing w:before="10"/>
      </w:pPr>
    </w:p>
    <w:p>
      <w:pPr>
        <w:pStyle w:val="ListParagraph"/>
        <w:numPr>
          <w:ilvl w:val="2"/>
          <w:numId w:val="1"/>
        </w:numPr>
        <w:tabs>
          <w:tab w:pos="1556" w:val="left" w:leader="none"/>
          <w:tab w:pos="1557" w:val="left" w:leader="none"/>
        </w:tabs>
        <w:spacing w:line="240" w:lineRule="auto" w:before="0" w:after="0"/>
        <w:ind w:left="1556" w:right="0" w:hanging="402"/>
        <w:jc w:val="left"/>
        <w:rPr>
          <w:sz w:val="20"/>
        </w:rPr>
      </w:pPr>
      <w:r>
        <w:rPr>
          <w:sz w:val="20"/>
        </w:rPr>
        <w:t>folgende Abschnitte wurden gestrichen:</w:t>
      </w:r>
    </w:p>
    <w:p>
      <w:pPr>
        <w:pStyle w:val="BodyText"/>
        <w:spacing w:before="10"/>
      </w:pPr>
    </w:p>
    <w:p>
      <w:pPr>
        <w:pStyle w:val="BodyText"/>
        <w:spacing w:before="1"/>
        <w:ind w:left="1556"/>
      </w:pPr>
      <w:r>
        <w:rPr/>
        <w:t>4.2.1, 4.2.1(i), 4.2.3(1), 4.2.3(2), 4.2.3(4), 4.2.3(5), 4.2.3(h), 4.3.1, 4.3.1(c), 4.3.2, 4.3.3, 5.2.1(b), 5.2.1(d),</w:t>
      </w:r>
    </w:p>
    <w:p>
      <w:pPr>
        <w:pStyle w:val="BodyText"/>
        <w:ind w:left="1555"/>
      </w:pPr>
      <w:r>
        <w:rPr/>
        <w:t>8.3(d), 8.3(e), 8.3.</w:t>
      </w:r>
    </w:p>
    <w:p>
      <w:pPr>
        <w:pStyle w:val="BodyText"/>
        <w:rPr>
          <w:sz w:val="22"/>
        </w:rPr>
      </w:pPr>
    </w:p>
    <w:p>
      <w:pPr>
        <w:pStyle w:val="BodyText"/>
        <w:rPr>
          <w:sz w:val="22"/>
        </w:rPr>
      </w:pPr>
    </w:p>
    <w:p>
      <w:pPr>
        <w:pStyle w:val="BodyText"/>
        <w:spacing w:before="4"/>
        <w:rPr>
          <w:sz w:val="17"/>
        </w:rPr>
      </w:pPr>
    </w:p>
    <w:p>
      <w:pPr>
        <w:pStyle w:val="Heading3"/>
        <w:spacing w:before="1"/>
        <w:ind w:left="1155" w:firstLine="0"/>
      </w:pPr>
      <w:r>
        <w:rPr/>
        <w:t>Frühere Ausgaben</w:t>
      </w:r>
    </w:p>
    <w:p>
      <w:pPr>
        <w:pStyle w:val="BodyText"/>
        <w:spacing w:before="1"/>
        <w:rPr>
          <w:b/>
          <w:sz w:val="21"/>
        </w:rPr>
      </w:pPr>
    </w:p>
    <w:p>
      <w:pPr>
        <w:pStyle w:val="BodyText"/>
        <w:ind w:left="1155"/>
      </w:pPr>
      <w:r>
        <w:rPr/>
        <w:t>DIN ISO/IEC 27001:2008-09</w:t>
      </w: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19"/>
        </w:rPr>
      </w:pPr>
    </w:p>
    <w:p>
      <w:pPr>
        <w:spacing w:before="0"/>
        <w:ind w:left="0" w:right="196" w:firstLine="0"/>
        <w:jc w:val="right"/>
        <w:rPr>
          <w:b/>
          <w:sz w:val="22"/>
        </w:rPr>
      </w:pPr>
      <w:r>
        <w:rPr/>
        <w:pict>
          <v:shape style="position:absolute;margin-left:9.663086pt;margin-top:-61.776386pt;width:9.85pt;height:83.7pt;mso-position-horizontal-relative:page;mso-position-vertical-relative:paragraph;z-index:-254716928"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b/>
          <w:w w:val="100"/>
          <w:sz w:val="22"/>
        </w:rPr>
        <w:t>3</w:t>
      </w:r>
    </w:p>
    <w:p>
      <w:pPr>
        <w:spacing w:after="0"/>
        <w:jc w:val="right"/>
        <w:rPr>
          <w:sz w:val="22"/>
        </w:rPr>
        <w:sectPr>
          <w:footerReference w:type="default" r:id="rId10"/>
          <w:pgSz w:w="11910" w:h="16840"/>
          <w:pgMar w:footer="0" w:header="710" w:top="1540" w:bottom="280" w:left="260" w:right="540"/>
        </w:sectPr>
      </w:pPr>
    </w:p>
    <w:p>
      <w:pPr>
        <w:spacing w:line="316" w:lineRule="exact" w:before="87"/>
        <w:ind w:left="2408" w:right="2806" w:firstLine="0"/>
        <w:jc w:val="center"/>
        <w:rPr>
          <w:b/>
          <w:sz w:val="28"/>
        </w:rPr>
      </w:pPr>
      <w:r>
        <w:rPr/>
        <w:pict>
          <v:shape style="position:absolute;margin-left:9.663086pt;margin-top:739.23053pt;width:9.85pt;height:83.7pt;mso-position-horizontal-relative:page;mso-position-vertical-relative:page;z-index:251661312"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bookmarkStart w:name="Nationaler Anhang NA(informativ)Literatu" w:id="5"/>
      <w:bookmarkEnd w:id="5"/>
      <w:r>
        <w:rPr/>
      </w:r>
      <w:bookmarkStart w:name="_bookmark1" w:id="6"/>
      <w:bookmarkEnd w:id="6"/>
      <w:r>
        <w:rPr/>
      </w:r>
      <w:r>
        <w:rPr>
          <w:b/>
          <w:sz w:val="28"/>
        </w:rPr>
        <w:t>Nationaler Anhang NA</w:t>
      </w:r>
    </w:p>
    <w:p>
      <w:pPr>
        <w:spacing w:line="316" w:lineRule="exact" w:before="0"/>
        <w:ind w:left="2408" w:right="2808" w:firstLine="0"/>
        <w:jc w:val="center"/>
        <w:rPr>
          <w:sz w:val="28"/>
        </w:rPr>
      </w:pPr>
      <w:r>
        <w:rPr>
          <w:sz w:val="28"/>
        </w:rPr>
        <w:t>(informativ)</w:t>
      </w:r>
    </w:p>
    <w:p>
      <w:pPr>
        <w:pStyle w:val="BodyText"/>
        <w:spacing w:before="8"/>
        <w:rPr>
          <w:sz w:val="25"/>
        </w:rPr>
      </w:pPr>
    </w:p>
    <w:p>
      <w:pPr>
        <w:spacing w:before="0"/>
        <w:ind w:left="2408" w:right="2807" w:firstLine="0"/>
        <w:jc w:val="center"/>
        <w:rPr>
          <w:b/>
          <w:sz w:val="28"/>
        </w:rPr>
      </w:pPr>
      <w:r>
        <w:rPr>
          <w:b/>
          <w:sz w:val="28"/>
        </w:rPr>
        <w:t>Literaturhinweise</w:t>
      </w:r>
    </w:p>
    <w:p>
      <w:pPr>
        <w:pStyle w:val="BodyText"/>
        <w:rPr>
          <w:b/>
          <w:sz w:val="30"/>
        </w:rPr>
      </w:pPr>
    </w:p>
    <w:p>
      <w:pPr>
        <w:pStyle w:val="BodyText"/>
        <w:spacing w:before="10"/>
        <w:rPr>
          <w:b/>
          <w:sz w:val="35"/>
        </w:rPr>
      </w:pPr>
    </w:p>
    <w:p>
      <w:pPr>
        <w:tabs>
          <w:tab w:pos="2598" w:val="left" w:leader="none"/>
          <w:tab w:pos="4657" w:val="left" w:leader="none"/>
          <w:tab w:pos="5180" w:val="left" w:leader="none"/>
          <w:tab w:pos="7585" w:val="left" w:leader="none"/>
          <w:tab w:pos="8108" w:val="left" w:leader="none"/>
        </w:tabs>
        <w:spacing w:before="1"/>
        <w:ind w:left="476" w:right="917" w:hanging="1"/>
        <w:jc w:val="left"/>
        <w:rPr>
          <w:i/>
          <w:sz w:val="20"/>
        </w:rPr>
      </w:pPr>
      <w:r>
        <w:rPr>
          <w:sz w:val="20"/>
        </w:rPr>
        <w:t>DIN</w:t>
      </w:r>
      <w:r>
        <w:rPr>
          <w:spacing w:val="-4"/>
          <w:sz w:val="20"/>
        </w:rPr>
        <w:t> </w:t>
      </w:r>
      <w:r>
        <w:rPr>
          <w:sz w:val="20"/>
        </w:rPr>
        <w:t>ISO/IEC</w:t>
      </w:r>
      <w:r>
        <w:rPr>
          <w:spacing w:val="-1"/>
          <w:sz w:val="20"/>
        </w:rPr>
        <w:t> </w:t>
      </w:r>
      <w:r>
        <w:rPr>
          <w:sz w:val="20"/>
        </w:rPr>
        <w:t>27000,</w:t>
        <w:tab/>
      </w:r>
      <w:r>
        <w:rPr>
          <w:i/>
          <w:sz w:val="20"/>
        </w:rPr>
        <w:t>Informationstechnik</w:t>
        <w:tab/>
        <w:t>—</w:t>
        <w:tab/>
        <w:t>IT-Sicherheitsverfahren</w:t>
        <w:tab/>
        <w:t>—</w:t>
        <w:tab/>
      </w:r>
      <w:r>
        <w:rPr>
          <w:i/>
          <w:w w:val="95"/>
          <w:sz w:val="20"/>
        </w:rPr>
        <w:t>Informationssicherheits- </w:t>
      </w:r>
      <w:r>
        <w:rPr>
          <w:i/>
          <w:sz w:val="20"/>
        </w:rPr>
        <w:t>Managementsysteme — Überblick und Terminologie</w:t>
      </w:r>
    </w:p>
    <w:p>
      <w:pPr>
        <w:spacing w:after="0"/>
        <w:jc w:val="left"/>
        <w:rPr>
          <w:sz w:val="20"/>
        </w:rPr>
        <w:sectPr>
          <w:headerReference w:type="even" r:id="rId11"/>
          <w:headerReference w:type="default" r:id="rId12"/>
          <w:footerReference w:type="even" r:id="rId13"/>
          <w:pgSz w:w="11910" w:h="16840"/>
          <w:pgMar w:header="710" w:footer="120" w:top="1540" w:bottom="320" w:left="260" w:right="540"/>
          <w:pgNumType w:start="4"/>
        </w:sectPr>
      </w:pPr>
    </w:p>
    <w:p>
      <w:pPr>
        <w:spacing w:line="228" w:lineRule="auto" w:before="94"/>
        <w:ind w:left="1184" w:right="214" w:firstLine="1272"/>
        <w:jc w:val="left"/>
        <w:rPr>
          <w:b/>
          <w:sz w:val="32"/>
        </w:rPr>
      </w:pPr>
      <w:r>
        <w:rPr>
          <w:b/>
          <w:sz w:val="32"/>
        </w:rPr>
        <w:t>Informationstechnik ― Sicherheitsverfahren ― Informationssicherheitsmanagementsysteme ― Anforderungen</w:t>
      </w:r>
    </w:p>
    <w:p>
      <w:pPr>
        <w:pStyle w:val="BodyText"/>
        <w:rPr>
          <w:b/>
          <w:sz w:val="36"/>
        </w:rPr>
      </w:pPr>
    </w:p>
    <w:p>
      <w:pPr>
        <w:pStyle w:val="BodyText"/>
        <w:spacing w:before="9"/>
        <w:rPr>
          <w:b/>
          <w:sz w:val="46"/>
        </w:rPr>
      </w:pPr>
    </w:p>
    <w:p>
      <w:pPr>
        <w:pStyle w:val="Heading1"/>
        <w:numPr>
          <w:ilvl w:val="0"/>
          <w:numId w:val="2"/>
        </w:numPr>
        <w:tabs>
          <w:tab w:pos="1556" w:val="left" w:leader="none"/>
          <w:tab w:pos="1557" w:val="left" w:leader="none"/>
        </w:tabs>
        <w:spacing w:line="240" w:lineRule="auto" w:before="1" w:after="0"/>
        <w:ind w:left="1556" w:right="0" w:hanging="401"/>
        <w:jc w:val="left"/>
      </w:pPr>
      <w:bookmarkStart w:name="0 Einleitung" w:id="7"/>
      <w:bookmarkEnd w:id="7"/>
      <w:r>
        <w:rPr>
          <w:b w:val="0"/>
        </w:rPr>
      </w:r>
      <w:bookmarkStart w:name="_bookmark2" w:id="8"/>
      <w:bookmarkEnd w:id="8"/>
      <w:r>
        <w:rPr>
          <w:b w:val="0"/>
        </w:rPr>
      </w:r>
      <w:bookmarkStart w:name="_bookmark2" w:id="9"/>
      <w:bookmarkEnd w:id="9"/>
      <w:r>
        <w:rPr/>
        <w:t>E</w:t>
      </w:r>
      <w:r>
        <w:rPr/>
        <w:t>inleitung</w:t>
      </w:r>
    </w:p>
    <w:p>
      <w:pPr>
        <w:pStyle w:val="BodyText"/>
        <w:spacing w:before="4"/>
        <w:rPr>
          <w:b/>
          <w:sz w:val="26"/>
        </w:rPr>
      </w:pPr>
    </w:p>
    <w:p>
      <w:pPr>
        <w:pStyle w:val="ListParagraph"/>
        <w:numPr>
          <w:ilvl w:val="1"/>
          <w:numId w:val="2"/>
        </w:numPr>
        <w:tabs>
          <w:tab w:pos="1715" w:val="left" w:leader="none"/>
          <w:tab w:pos="1716" w:val="left" w:leader="none"/>
        </w:tabs>
        <w:spacing w:line="240" w:lineRule="auto" w:before="0" w:after="0"/>
        <w:ind w:left="1715" w:right="0" w:hanging="560"/>
        <w:jc w:val="left"/>
        <w:rPr>
          <w:b/>
          <w:sz w:val="24"/>
        </w:rPr>
      </w:pPr>
      <w:bookmarkStart w:name="0.1 Allgemeines" w:id="10"/>
      <w:bookmarkEnd w:id="10"/>
      <w:r>
        <w:rPr/>
      </w:r>
      <w:bookmarkStart w:name="_bookmark3" w:id="11"/>
      <w:bookmarkEnd w:id="11"/>
      <w:r>
        <w:rPr/>
      </w:r>
      <w:bookmarkStart w:name="_bookmark3" w:id="12"/>
      <w:bookmarkEnd w:id="12"/>
      <w:r>
        <w:rPr>
          <w:b/>
          <w:sz w:val="24"/>
        </w:rPr>
        <w:t>A</w:t>
      </w:r>
      <w:r>
        <w:rPr>
          <w:b/>
          <w:sz w:val="24"/>
        </w:rPr>
        <w:t>llgemeines</w:t>
      </w:r>
    </w:p>
    <w:p>
      <w:pPr>
        <w:pStyle w:val="BodyText"/>
        <w:spacing w:before="9"/>
        <w:rPr>
          <w:b/>
        </w:rPr>
      </w:pPr>
    </w:p>
    <w:p>
      <w:pPr>
        <w:pStyle w:val="BodyText"/>
        <w:ind w:left="1155" w:right="193"/>
        <w:jc w:val="both"/>
      </w:pPr>
      <w:r>
        <w:rPr/>
        <w:t>Diese Internationale Norm wurde erarbeitet, um Anforderungen für die Einrichtung, Umsetzung, Aufrechterhaltung und fortlaufende Verbesserung eines Informationssicherheitsmanagementsystems (ISMS) festzulegen. Die Einführung eines Informationssicherheitsmanagementsystems stellt für eine Organisation eine strategische Entscheidung dar. Erstellung und Umsetzung eines Informations- sicherheitsmanagementsystems innerhalb einer Organisation richten sich nach deren Bedürfnissen und Zielen, den Sicherheitsanforderungen, den organisatorischen Abläufen sowie nach Größe und Struktur der Organisation. Es ist davon auszugehen, dass sich alle diese Einflussgrößen im Laufe der Zeit</w:t>
      </w:r>
      <w:r>
        <w:rPr>
          <w:spacing w:val="-23"/>
        </w:rPr>
        <w:t> </w:t>
      </w:r>
      <w:r>
        <w:rPr/>
        <w:t>ändern.</w:t>
      </w:r>
    </w:p>
    <w:p>
      <w:pPr>
        <w:pStyle w:val="BodyText"/>
        <w:rPr>
          <w:sz w:val="21"/>
        </w:rPr>
      </w:pPr>
    </w:p>
    <w:p>
      <w:pPr>
        <w:pStyle w:val="BodyText"/>
        <w:ind w:left="1155" w:right="197"/>
        <w:jc w:val="both"/>
      </w:pPr>
      <w:r>
        <w:rPr/>
        <w:t>Das Informationssicherheitsmanagementsystem wahrt die Vertraulichkeit, Integrität und Verfügbarkeit von Information unter Anwendung eines Risikomanagementprozesses und verleiht interessierten Parteien das Vertrauen in eine angemessene Steuerung von Risiken.</w:t>
      </w:r>
    </w:p>
    <w:p>
      <w:pPr>
        <w:pStyle w:val="BodyText"/>
        <w:spacing w:before="11"/>
      </w:pPr>
    </w:p>
    <w:p>
      <w:pPr>
        <w:pStyle w:val="BodyText"/>
        <w:ind w:left="1155" w:right="195"/>
        <w:jc w:val="both"/>
      </w:pPr>
      <w:r>
        <w:rPr/>
        <w:t>Es ist wichtig, dass das Informationssicherheitsmanagementsystem als Teil der Abläufe der Organisation in deren übergreifende Steuerungsstruktur integriert ist und die Informationssicherheit bereits bei der Konzeption von Prozessen, Informationssystemen und Maßnahmen berücksichtigt wird. Es wird erwartet, dass die Umsetzung eines Informationssicherheitsmanagementsystems entsprechend den Bedürfnissen der Organisation skaliert wird.</w:t>
      </w:r>
    </w:p>
    <w:p>
      <w:pPr>
        <w:pStyle w:val="BodyText"/>
        <w:spacing w:before="10"/>
      </w:pPr>
    </w:p>
    <w:p>
      <w:pPr>
        <w:pStyle w:val="BodyText"/>
        <w:ind w:left="1155" w:right="200"/>
        <w:jc w:val="both"/>
      </w:pPr>
      <w:r>
        <w:rPr/>
        <w:t>Diese Internationale Norm kann von internen und externen Parteien dazu eingesetzt werden, die Fähigkeit einer Organisation zur Einhaltung ihrer eigenen Informationssicherheitsanforderungen zu beurteilen.</w:t>
      </w:r>
    </w:p>
    <w:p>
      <w:pPr>
        <w:pStyle w:val="BodyText"/>
        <w:spacing w:before="11"/>
      </w:pPr>
    </w:p>
    <w:p>
      <w:pPr>
        <w:pStyle w:val="BodyText"/>
        <w:ind w:left="1155" w:right="197"/>
        <w:jc w:val="both"/>
      </w:pPr>
      <w:r>
        <w:rPr/>
        <w:t>Die Reihenfolge, in der die Anforderungen in dieser Internationalen Norm aufgeführt sind, spiegelt nicht deren Bedeutung wider noch die Abfolge, in der sie umzusetzen sind. Die Einträge sind lediglich zu Referenzierungszwecken nummeriert.</w:t>
      </w:r>
    </w:p>
    <w:p>
      <w:pPr>
        <w:pStyle w:val="BodyText"/>
        <w:spacing w:before="9"/>
      </w:pPr>
    </w:p>
    <w:p>
      <w:pPr>
        <w:pStyle w:val="BodyText"/>
        <w:ind w:left="1154" w:right="196"/>
        <w:jc w:val="both"/>
      </w:pPr>
      <w:r>
        <w:rPr/>
        <w:t>ISO/IEC 27000 liefert einen Überblick und die Begrifflichkeiten von Informationssicherheitsmanagement- systemen und verweist auf die Informationssicherheitsmanagementsystem-Normenfamilie (einschließlich ISO/IEC 27003 [2], ISO/IEC 27004 [3] und ISO/IEC 27005 [4]), einschließlich deren Begriffe.</w:t>
      </w:r>
    </w:p>
    <w:p>
      <w:pPr>
        <w:pStyle w:val="BodyText"/>
        <w:spacing w:before="1"/>
        <w:rPr>
          <w:sz w:val="23"/>
        </w:rPr>
      </w:pPr>
    </w:p>
    <w:p>
      <w:pPr>
        <w:pStyle w:val="ListParagraph"/>
        <w:numPr>
          <w:ilvl w:val="1"/>
          <w:numId w:val="2"/>
        </w:numPr>
        <w:tabs>
          <w:tab w:pos="1715" w:val="left" w:leader="none"/>
          <w:tab w:pos="1716" w:val="left" w:leader="none"/>
        </w:tabs>
        <w:spacing w:line="240" w:lineRule="auto" w:before="0" w:after="0"/>
        <w:ind w:left="1715" w:right="0" w:hanging="560"/>
        <w:jc w:val="left"/>
        <w:rPr>
          <w:b/>
          <w:sz w:val="24"/>
        </w:rPr>
      </w:pPr>
      <w:bookmarkStart w:name="0.2 Kompatibilität mit anderen Normen fü" w:id="13"/>
      <w:bookmarkEnd w:id="13"/>
      <w:r>
        <w:rPr/>
      </w:r>
      <w:bookmarkStart w:name="_bookmark4" w:id="14"/>
      <w:bookmarkEnd w:id="14"/>
      <w:r>
        <w:rPr/>
      </w:r>
      <w:bookmarkStart w:name="_bookmark4" w:id="15"/>
      <w:bookmarkEnd w:id="15"/>
      <w:r>
        <w:rPr>
          <w:b/>
          <w:sz w:val="24"/>
        </w:rPr>
        <w:t>K</w:t>
      </w:r>
      <w:r>
        <w:rPr>
          <w:b/>
          <w:sz w:val="24"/>
        </w:rPr>
        <w:t>ompatibilität mit anderen Normen für</w:t>
      </w:r>
      <w:r>
        <w:rPr>
          <w:b/>
          <w:spacing w:val="-5"/>
          <w:sz w:val="24"/>
        </w:rPr>
        <w:t> </w:t>
      </w:r>
      <w:r>
        <w:rPr>
          <w:b/>
          <w:sz w:val="24"/>
        </w:rPr>
        <w:t>Managementsysteme</w:t>
      </w:r>
    </w:p>
    <w:p>
      <w:pPr>
        <w:pStyle w:val="BodyText"/>
        <w:spacing w:before="9"/>
        <w:rPr>
          <w:b/>
        </w:rPr>
      </w:pPr>
    </w:p>
    <w:p>
      <w:pPr>
        <w:pStyle w:val="BodyText"/>
        <w:ind w:left="1155" w:right="197"/>
        <w:jc w:val="both"/>
      </w:pPr>
      <w:r>
        <w:rPr/>
        <w:t>Diese Internationale Norm wendet die Grundstrukturen, den einheitlichen Basistext, die gemeinsamen Benennungen und die Basisdefinitionen für den Gebrauch in Managementsystemnormen an, die jeweils im Anhang SL der ISO/IEC-Direktiven, Teil 1, „Consolidated ISO Supplement“ festgelegt sind, und stellt so die Übereinstimmung mit anderen Managementsystemnormen her, die ebenfalls den Anhang SL anwenden.</w:t>
      </w:r>
    </w:p>
    <w:p>
      <w:pPr>
        <w:pStyle w:val="BodyText"/>
        <w:spacing w:before="9"/>
      </w:pPr>
    </w:p>
    <w:p>
      <w:pPr>
        <w:pStyle w:val="BodyText"/>
        <w:ind w:left="1156" w:right="197" w:hanging="1"/>
        <w:jc w:val="both"/>
      </w:pPr>
      <w:r>
        <w:rPr/>
        <w:t>Die in Anhang SL festgelegte allgemeine Herangehensweise nützt jenen Organisationen, die sich für den Betrieb eines einzigen Managementsystems entscheiden, um die Anforderungen von zwei oder mehr Normen für Managementsysteme zu erfüllen.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26"/>
        </w:rPr>
      </w:pPr>
    </w:p>
    <w:p>
      <w:pPr>
        <w:spacing w:before="93"/>
        <w:ind w:left="0" w:right="196" w:firstLine="0"/>
        <w:jc w:val="right"/>
        <w:rPr>
          <w:b/>
          <w:sz w:val="22"/>
        </w:rPr>
      </w:pPr>
      <w:r>
        <w:rPr/>
        <w:pict>
          <v:shape style="position:absolute;margin-left:9.663086pt;margin-top:-57.126385pt;width:9.85pt;height:83.7pt;mso-position-horizontal-relative:page;mso-position-vertical-relative:paragraph;z-index:-254714880"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b/>
          <w:w w:val="100"/>
          <w:sz w:val="22"/>
        </w:rPr>
        <w:t>5</w:t>
      </w:r>
    </w:p>
    <w:p>
      <w:pPr>
        <w:spacing w:after="0"/>
        <w:jc w:val="right"/>
        <w:rPr>
          <w:sz w:val="22"/>
        </w:rPr>
        <w:sectPr>
          <w:footerReference w:type="default" r:id="rId14"/>
          <w:pgSz w:w="11910" w:h="16840"/>
          <w:pgMar w:footer="0" w:header="710" w:top="1540" w:bottom="280" w:left="260" w:right="540"/>
        </w:sectPr>
      </w:pPr>
    </w:p>
    <w:p>
      <w:pPr>
        <w:pStyle w:val="ListParagraph"/>
        <w:numPr>
          <w:ilvl w:val="0"/>
          <w:numId w:val="2"/>
        </w:numPr>
        <w:tabs>
          <w:tab w:pos="879" w:val="left" w:leader="none"/>
          <w:tab w:pos="880" w:val="left" w:leader="none"/>
        </w:tabs>
        <w:spacing w:line="240" w:lineRule="auto" w:before="91" w:after="0"/>
        <w:ind w:left="880" w:right="0" w:hanging="404"/>
        <w:jc w:val="left"/>
        <w:rPr>
          <w:b/>
          <w:sz w:val="24"/>
        </w:rPr>
      </w:pPr>
      <w:bookmarkStart w:name="1 Anwendungsbereich" w:id="16"/>
      <w:bookmarkEnd w:id="16"/>
      <w:r>
        <w:rPr/>
      </w:r>
      <w:bookmarkStart w:name="_bookmark5" w:id="17"/>
      <w:bookmarkEnd w:id="17"/>
      <w:r>
        <w:rPr/>
      </w:r>
      <w:bookmarkStart w:name="_bookmark5" w:id="18"/>
      <w:bookmarkEnd w:id="18"/>
      <w:r>
        <w:rPr>
          <w:b/>
          <w:sz w:val="24"/>
        </w:rPr>
        <w:t>A</w:t>
      </w:r>
      <w:r>
        <w:rPr>
          <w:b/>
          <w:sz w:val="24"/>
        </w:rPr>
        <w:t>nwendungsbereich</w:t>
      </w:r>
    </w:p>
    <w:p>
      <w:pPr>
        <w:pStyle w:val="BodyText"/>
        <w:spacing w:before="9"/>
        <w:rPr>
          <w:b/>
        </w:rPr>
      </w:pPr>
    </w:p>
    <w:p>
      <w:pPr>
        <w:pStyle w:val="BodyText"/>
        <w:ind w:left="476" w:right="874"/>
        <w:jc w:val="both"/>
      </w:pPr>
      <w:r>
        <w:rPr/>
        <w:t>Diese Internationale Norm legt die Anforderungen für die Einrichtung, Umsetzung, Aufrechterhaltung und fortlaufende Verbesserung eines Informationssicherheitsmanagementsystems im Kontext der Organisation fest. Darüber hinaus beinhaltet diese Internationale Norm Anforderungen für die Beurteilung und Behandlung von Informationssicherheitsrisiken entsprechend den individuellen Bedürfnissen der Organisation. Die in dieser Internationalen Norm festgelegten Anforderungen sind allgemein gehalten und sollen auf alle Organisationen, ungeachtet ihrer Art und Größe, anwendbar sein. Wenn eine Organisation Konformität mit dieser Internationalen Norm für sich beansprucht, darf sie keine der Anforderungen in den Abschnitten 4 bis 10</w:t>
      </w:r>
      <w:r>
        <w:rPr>
          <w:spacing w:val="-2"/>
        </w:rPr>
        <w:t> </w:t>
      </w:r>
      <w:r>
        <w:rPr/>
        <w:t>ausschließen.</w:t>
      </w:r>
    </w:p>
    <w:p>
      <w:pPr>
        <w:pStyle w:val="BodyText"/>
        <w:spacing w:before="1"/>
        <w:rPr>
          <w:sz w:val="23"/>
        </w:rPr>
      </w:pPr>
    </w:p>
    <w:p>
      <w:pPr>
        <w:pStyle w:val="ListParagraph"/>
        <w:numPr>
          <w:ilvl w:val="0"/>
          <w:numId w:val="2"/>
        </w:numPr>
        <w:tabs>
          <w:tab w:pos="879" w:val="left" w:leader="none"/>
          <w:tab w:pos="880" w:val="left" w:leader="none"/>
        </w:tabs>
        <w:spacing w:line="240" w:lineRule="auto" w:before="1" w:after="0"/>
        <w:ind w:left="880" w:right="0" w:hanging="404"/>
        <w:jc w:val="left"/>
        <w:rPr>
          <w:b/>
          <w:sz w:val="24"/>
        </w:rPr>
      </w:pPr>
      <w:bookmarkStart w:name="2 Normative Verweisungen" w:id="19"/>
      <w:bookmarkEnd w:id="19"/>
      <w:r>
        <w:rPr/>
      </w:r>
      <w:bookmarkStart w:name="_bookmark6" w:id="20"/>
      <w:bookmarkEnd w:id="20"/>
      <w:r>
        <w:rPr/>
      </w:r>
      <w:bookmarkStart w:name="_bookmark6" w:id="21"/>
      <w:bookmarkEnd w:id="21"/>
      <w:r>
        <w:rPr>
          <w:b/>
          <w:sz w:val="24"/>
        </w:rPr>
        <w:t>N</w:t>
      </w:r>
      <w:r>
        <w:rPr>
          <w:b/>
          <w:sz w:val="24"/>
        </w:rPr>
        <w:t>ormative Verweisungen</w:t>
      </w:r>
    </w:p>
    <w:p>
      <w:pPr>
        <w:pStyle w:val="BodyText"/>
        <w:spacing w:before="9"/>
        <w:rPr>
          <w:b/>
        </w:rPr>
      </w:pPr>
    </w:p>
    <w:p>
      <w:pPr>
        <w:pStyle w:val="BodyText"/>
        <w:ind w:left="476" w:right="878" w:firstLine="55"/>
        <w:jc w:val="both"/>
      </w:pPr>
      <w:r>
        <w:rPr/>
        <w:t>Die folgenden Dokumente, die in diesem Dokument teilweise oder als Ganzes zitiert werden, sind für die Anwendung des Dokuments erforderlich. Bei datierten Verweisungen gilt nur die in Bezug genommene Ausgabe. Bei undatierten Verweisungen gilt die letzte Ausgabe des in Bezug genommenen Dokuments (einschließlich aller Änderungen).</w:t>
      </w:r>
    </w:p>
    <w:p>
      <w:pPr>
        <w:pStyle w:val="BodyText"/>
        <w:spacing w:before="7"/>
      </w:pPr>
    </w:p>
    <w:p>
      <w:pPr>
        <w:spacing w:before="0"/>
        <w:ind w:left="476" w:right="878" w:firstLine="0"/>
        <w:jc w:val="both"/>
        <w:rPr>
          <w:i/>
          <w:sz w:val="20"/>
        </w:rPr>
      </w:pPr>
      <w:r>
        <w:rPr>
          <w:sz w:val="20"/>
        </w:rPr>
        <w:t>ISO/IEC 27000, </w:t>
      </w:r>
      <w:r>
        <w:rPr>
          <w:i/>
          <w:sz w:val="20"/>
        </w:rPr>
        <w:t>Information technology — Security Techniques — Information security  management  </w:t>
      </w:r>
      <w:r>
        <w:rPr>
          <w:i/>
          <w:sz w:val="20"/>
        </w:rPr>
        <w:t>systems — Overview and</w:t>
      </w:r>
      <w:r>
        <w:rPr>
          <w:i/>
          <w:spacing w:val="-3"/>
          <w:sz w:val="20"/>
        </w:rPr>
        <w:t> </w:t>
      </w:r>
      <w:r>
        <w:rPr>
          <w:i/>
          <w:sz w:val="20"/>
        </w:rPr>
        <w:t>vocabulary</w:t>
      </w:r>
    </w:p>
    <w:p>
      <w:pPr>
        <w:pStyle w:val="BodyText"/>
        <w:spacing w:before="3"/>
        <w:rPr>
          <w:i/>
          <w:sz w:val="23"/>
        </w:rPr>
      </w:pPr>
    </w:p>
    <w:p>
      <w:pPr>
        <w:pStyle w:val="ListParagraph"/>
        <w:numPr>
          <w:ilvl w:val="0"/>
          <w:numId w:val="2"/>
        </w:numPr>
        <w:tabs>
          <w:tab w:pos="879" w:val="left" w:leader="none"/>
          <w:tab w:pos="880" w:val="left" w:leader="none"/>
        </w:tabs>
        <w:spacing w:line="240" w:lineRule="auto" w:before="0" w:after="0"/>
        <w:ind w:left="880" w:right="0" w:hanging="404"/>
        <w:jc w:val="left"/>
        <w:rPr>
          <w:b/>
          <w:sz w:val="24"/>
        </w:rPr>
      </w:pPr>
      <w:bookmarkStart w:name="3 Begriffe" w:id="22"/>
      <w:bookmarkEnd w:id="22"/>
      <w:r>
        <w:rPr/>
      </w:r>
      <w:bookmarkStart w:name="_bookmark7" w:id="23"/>
      <w:bookmarkEnd w:id="23"/>
      <w:r>
        <w:rPr/>
      </w:r>
      <w:bookmarkStart w:name="_bookmark7" w:id="24"/>
      <w:bookmarkEnd w:id="24"/>
      <w:r>
        <w:rPr>
          <w:b/>
          <w:sz w:val="24"/>
        </w:rPr>
        <w:t>B</w:t>
      </w:r>
      <w:r>
        <w:rPr>
          <w:b/>
          <w:sz w:val="24"/>
        </w:rPr>
        <w:t>egriffe</w:t>
      </w:r>
    </w:p>
    <w:p>
      <w:pPr>
        <w:pStyle w:val="BodyText"/>
        <w:spacing w:before="9"/>
        <w:rPr>
          <w:b/>
        </w:rPr>
      </w:pPr>
    </w:p>
    <w:p>
      <w:pPr>
        <w:pStyle w:val="BodyText"/>
        <w:spacing w:before="1"/>
        <w:ind w:left="476"/>
        <w:jc w:val="both"/>
      </w:pPr>
      <w:r>
        <w:rPr/>
        <w:t>Für die Anwendung dieses Dokuments gelten die in ISO/IEC 27000 angegebenen Begriffe.</w:t>
      </w:r>
    </w:p>
    <w:p>
      <w:pPr>
        <w:pStyle w:val="BodyText"/>
        <w:rPr>
          <w:sz w:val="23"/>
        </w:rPr>
      </w:pPr>
    </w:p>
    <w:p>
      <w:pPr>
        <w:pStyle w:val="ListParagraph"/>
        <w:numPr>
          <w:ilvl w:val="0"/>
          <w:numId w:val="2"/>
        </w:numPr>
        <w:tabs>
          <w:tab w:pos="879" w:val="left" w:leader="none"/>
          <w:tab w:pos="880" w:val="left" w:leader="none"/>
        </w:tabs>
        <w:spacing w:line="240" w:lineRule="auto" w:before="0" w:after="0"/>
        <w:ind w:left="880" w:right="0" w:hanging="404"/>
        <w:jc w:val="left"/>
        <w:rPr>
          <w:b/>
          <w:sz w:val="24"/>
        </w:rPr>
      </w:pPr>
      <w:bookmarkStart w:name="4 Kontext der Organisation" w:id="25"/>
      <w:bookmarkEnd w:id="25"/>
      <w:r>
        <w:rPr/>
      </w:r>
      <w:bookmarkStart w:name="_bookmark8" w:id="26"/>
      <w:bookmarkEnd w:id="26"/>
      <w:r>
        <w:rPr/>
      </w:r>
      <w:bookmarkStart w:name="_bookmark8" w:id="27"/>
      <w:bookmarkEnd w:id="27"/>
      <w:r>
        <w:rPr>
          <w:b/>
          <w:sz w:val="24"/>
        </w:rPr>
        <w:t>Kont</w:t>
      </w:r>
      <w:r>
        <w:rPr>
          <w:b/>
          <w:sz w:val="24"/>
        </w:rPr>
        <w:t>ext der</w:t>
      </w:r>
      <w:r>
        <w:rPr>
          <w:b/>
          <w:spacing w:val="-2"/>
          <w:sz w:val="24"/>
        </w:rPr>
        <w:t> </w:t>
      </w:r>
      <w:r>
        <w:rPr>
          <w:b/>
          <w:sz w:val="24"/>
        </w:rPr>
        <w:t>Organisation</w:t>
      </w:r>
    </w:p>
    <w:p>
      <w:pPr>
        <w:pStyle w:val="BodyText"/>
        <w:spacing w:before="7"/>
        <w:rPr>
          <w:b/>
        </w:rPr>
      </w:pPr>
    </w:p>
    <w:p>
      <w:pPr>
        <w:pStyle w:val="ListParagraph"/>
        <w:numPr>
          <w:ilvl w:val="1"/>
          <w:numId w:val="2"/>
        </w:numPr>
        <w:tabs>
          <w:tab w:pos="976" w:val="left" w:leader="none"/>
        </w:tabs>
        <w:spacing w:line="240" w:lineRule="auto" w:before="1" w:after="0"/>
        <w:ind w:left="975" w:right="0" w:hanging="500"/>
        <w:jc w:val="left"/>
        <w:rPr>
          <w:b/>
          <w:sz w:val="22"/>
        </w:rPr>
      </w:pPr>
      <w:bookmarkStart w:name="4.1 Verstehen der Organisation und ihres" w:id="28"/>
      <w:bookmarkEnd w:id="28"/>
      <w:r>
        <w:rPr/>
      </w:r>
      <w:bookmarkStart w:name="_bookmark9" w:id="29"/>
      <w:bookmarkEnd w:id="29"/>
      <w:r>
        <w:rPr/>
      </w:r>
      <w:bookmarkStart w:name="_bookmark9" w:id="30"/>
      <w:bookmarkEnd w:id="30"/>
      <w:r>
        <w:rPr>
          <w:b/>
          <w:sz w:val="22"/>
        </w:rPr>
        <w:t>Ve</w:t>
      </w:r>
      <w:r>
        <w:rPr>
          <w:b/>
          <w:sz w:val="22"/>
        </w:rPr>
        <w:t>rstehen der Organisation und ihres</w:t>
      </w:r>
      <w:r>
        <w:rPr>
          <w:b/>
          <w:spacing w:val="-7"/>
          <w:sz w:val="22"/>
        </w:rPr>
        <w:t> </w:t>
      </w:r>
      <w:r>
        <w:rPr>
          <w:b/>
          <w:sz w:val="22"/>
        </w:rPr>
        <w:t>Kontextes</w:t>
      </w:r>
    </w:p>
    <w:p>
      <w:pPr>
        <w:pStyle w:val="BodyText"/>
        <w:spacing w:before="8"/>
        <w:rPr>
          <w:b/>
        </w:rPr>
      </w:pPr>
    </w:p>
    <w:p>
      <w:pPr>
        <w:pStyle w:val="BodyText"/>
        <w:ind w:left="476" w:right="876"/>
        <w:jc w:val="both"/>
      </w:pPr>
      <w:r>
        <w:rPr/>
        <w:t>Die Organisation muss externe und interne Themen bestimmen, die für ihren Zweck relevant sind und sich auf ihre Fähigkeit auswirken, die beabsichtigten Ergebnisse ihres Informationssicherheitsmanagementsystems zu erreichen.</w:t>
      </w:r>
    </w:p>
    <w:p>
      <w:pPr>
        <w:pStyle w:val="BodyText"/>
        <w:spacing w:before="4"/>
        <w:rPr>
          <w:sz w:val="21"/>
        </w:rPr>
      </w:pPr>
    </w:p>
    <w:p>
      <w:pPr>
        <w:spacing w:before="0"/>
        <w:ind w:left="476" w:right="878" w:firstLine="0"/>
        <w:jc w:val="both"/>
        <w:rPr>
          <w:sz w:val="18"/>
        </w:rPr>
      </w:pPr>
      <w:r>
        <w:rPr>
          <w:sz w:val="18"/>
        </w:rPr>
        <w:t>ANMERKUNG   Die Bestimmung dieser Themen bezieht sich auf die Festlegung des externen und internen Kontexts    des Unternehmens, wie in ISO 31000:2009 [5], 5.3,</w:t>
      </w:r>
      <w:r>
        <w:rPr>
          <w:spacing w:val="-5"/>
          <w:sz w:val="18"/>
        </w:rPr>
        <w:t> </w:t>
      </w:r>
      <w:r>
        <w:rPr>
          <w:sz w:val="18"/>
        </w:rPr>
        <w:t>beschrieben.</w:t>
      </w:r>
    </w:p>
    <w:p>
      <w:pPr>
        <w:pStyle w:val="BodyText"/>
        <w:spacing w:before="10"/>
      </w:pPr>
    </w:p>
    <w:p>
      <w:pPr>
        <w:pStyle w:val="ListParagraph"/>
        <w:numPr>
          <w:ilvl w:val="1"/>
          <w:numId w:val="2"/>
        </w:numPr>
        <w:tabs>
          <w:tab w:pos="976" w:val="left" w:leader="none"/>
        </w:tabs>
        <w:spacing w:line="240" w:lineRule="auto" w:before="0" w:after="0"/>
        <w:ind w:left="975" w:right="0" w:hanging="500"/>
        <w:jc w:val="left"/>
        <w:rPr>
          <w:b/>
          <w:sz w:val="22"/>
        </w:rPr>
      </w:pPr>
      <w:bookmarkStart w:name="4.2 Verstehen der Erfordernisse und Erwa" w:id="31"/>
      <w:bookmarkEnd w:id="31"/>
      <w:r>
        <w:rPr/>
      </w:r>
      <w:bookmarkStart w:name="_bookmark10" w:id="32"/>
      <w:bookmarkEnd w:id="32"/>
      <w:r>
        <w:rPr/>
      </w:r>
      <w:bookmarkStart w:name="_bookmark10" w:id="33"/>
      <w:bookmarkEnd w:id="33"/>
      <w:r>
        <w:rPr>
          <w:b/>
          <w:sz w:val="22"/>
        </w:rPr>
        <w:t>Ve</w:t>
      </w:r>
      <w:r>
        <w:rPr>
          <w:b/>
          <w:sz w:val="22"/>
        </w:rPr>
        <w:t>rstehen der Erfordernisse und Erwartungen interessierter</w:t>
      </w:r>
      <w:r>
        <w:rPr>
          <w:b/>
          <w:spacing w:val="-5"/>
          <w:sz w:val="22"/>
        </w:rPr>
        <w:t> </w:t>
      </w:r>
      <w:r>
        <w:rPr>
          <w:b/>
          <w:sz w:val="22"/>
        </w:rPr>
        <w:t>Parteien</w:t>
      </w:r>
    </w:p>
    <w:p>
      <w:pPr>
        <w:pStyle w:val="BodyText"/>
        <w:spacing w:before="8"/>
        <w:rPr>
          <w:b/>
        </w:rPr>
      </w:pPr>
    </w:p>
    <w:p>
      <w:pPr>
        <w:pStyle w:val="BodyText"/>
        <w:spacing w:before="1"/>
        <w:ind w:left="476"/>
        <w:jc w:val="both"/>
      </w:pPr>
      <w:r>
        <w:rPr/>
        <w:t>Die Organisation muss:</w:t>
      </w:r>
    </w:p>
    <w:p>
      <w:pPr>
        <w:pStyle w:val="BodyText"/>
        <w:spacing w:before="10"/>
      </w:pPr>
    </w:p>
    <w:p>
      <w:pPr>
        <w:pStyle w:val="ListParagraph"/>
        <w:numPr>
          <w:ilvl w:val="0"/>
          <w:numId w:val="3"/>
        </w:numPr>
        <w:tabs>
          <w:tab w:pos="877" w:val="left" w:leader="none"/>
          <w:tab w:pos="878" w:val="left" w:leader="none"/>
        </w:tabs>
        <w:spacing w:line="240" w:lineRule="auto" w:before="0" w:after="0"/>
        <w:ind w:left="877" w:right="0" w:hanging="402"/>
        <w:jc w:val="left"/>
        <w:rPr>
          <w:sz w:val="20"/>
        </w:rPr>
      </w:pPr>
      <w:r>
        <w:rPr>
          <w:sz w:val="20"/>
        </w:rPr>
        <w:t>die interessierten Parteien, die für ihr Informationssicherheitsmanagementsystem relevant sind;</w:t>
      </w:r>
      <w:r>
        <w:rPr>
          <w:spacing w:val="-11"/>
          <w:sz w:val="20"/>
        </w:rPr>
        <w:t> </w:t>
      </w:r>
      <w:r>
        <w:rPr>
          <w:sz w:val="20"/>
        </w:rPr>
        <w:t>und</w:t>
      </w:r>
    </w:p>
    <w:p>
      <w:pPr>
        <w:pStyle w:val="BodyText"/>
        <w:spacing w:before="8"/>
      </w:pPr>
    </w:p>
    <w:p>
      <w:pPr>
        <w:pStyle w:val="ListParagraph"/>
        <w:numPr>
          <w:ilvl w:val="0"/>
          <w:numId w:val="3"/>
        </w:numPr>
        <w:tabs>
          <w:tab w:pos="877" w:val="left" w:leader="none"/>
          <w:tab w:pos="878" w:val="left" w:leader="none"/>
        </w:tabs>
        <w:spacing w:line="491" w:lineRule="auto" w:before="0" w:after="0"/>
        <w:ind w:left="476" w:right="2636" w:firstLine="0"/>
        <w:jc w:val="left"/>
        <w:rPr>
          <w:sz w:val="20"/>
        </w:rPr>
      </w:pPr>
      <w:r>
        <w:rPr>
          <w:sz w:val="20"/>
        </w:rPr>
        <w:t>die Anforderungen dieser interessierten Parteien mit Bezug zur Informationssicherheit bestimmen.</w:t>
      </w:r>
    </w:p>
    <w:p>
      <w:pPr>
        <w:spacing w:line="244" w:lineRule="auto" w:before="2"/>
        <w:ind w:left="476" w:right="876" w:firstLine="0"/>
        <w:jc w:val="both"/>
        <w:rPr>
          <w:sz w:val="18"/>
        </w:rPr>
      </w:pPr>
      <w:r>
        <w:rPr/>
        <w:pict>
          <v:shape style="position:absolute;margin-left:9.663086pt;margin-top:107.572441pt;width:9.85pt;height:83.7pt;mso-position-horizontal-relative:page;mso-position-vertical-relative:paragraph;z-index:251663360"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sz w:val="18"/>
        </w:rPr>
        <w:t>ANMERKUNG Die Anforderungen interessierter Parteien können gesetzliche und regulatorische Vorgaben sowie vertragliche Verpflichtungen beinhalten.</w:t>
      </w:r>
    </w:p>
    <w:p>
      <w:pPr>
        <w:spacing w:after="0" w:line="244" w:lineRule="auto"/>
        <w:jc w:val="both"/>
        <w:rPr>
          <w:sz w:val="18"/>
        </w:rPr>
        <w:sectPr>
          <w:headerReference w:type="even" r:id="rId15"/>
          <w:headerReference w:type="default" r:id="rId16"/>
          <w:footerReference w:type="even" r:id="rId17"/>
          <w:pgSz w:w="11910" w:h="16840"/>
          <w:pgMar w:header="710" w:footer="120" w:top="1540" w:bottom="320" w:left="260" w:right="540"/>
          <w:pgNumType w:start="6"/>
        </w:sectPr>
      </w:pPr>
    </w:p>
    <w:p>
      <w:pPr>
        <w:pStyle w:val="ListParagraph"/>
        <w:numPr>
          <w:ilvl w:val="1"/>
          <w:numId w:val="2"/>
        </w:numPr>
        <w:tabs>
          <w:tab w:pos="1656" w:val="left" w:leader="none"/>
        </w:tabs>
        <w:spacing w:line="240" w:lineRule="auto" w:before="96" w:after="0"/>
        <w:ind w:left="1655" w:right="0" w:hanging="500"/>
        <w:jc w:val="left"/>
        <w:rPr>
          <w:b/>
          <w:sz w:val="22"/>
        </w:rPr>
      </w:pPr>
      <w:bookmarkStart w:name="4.3 Festlegen des Anwendungsbereichs des" w:id="34"/>
      <w:bookmarkEnd w:id="34"/>
      <w:r>
        <w:rPr/>
      </w:r>
      <w:bookmarkStart w:name="_bookmark11" w:id="35"/>
      <w:bookmarkEnd w:id="35"/>
      <w:r>
        <w:rPr/>
      </w:r>
      <w:bookmarkStart w:name="_bookmark11" w:id="36"/>
      <w:bookmarkEnd w:id="36"/>
      <w:r>
        <w:rPr>
          <w:b/>
          <w:sz w:val="22"/>
        </w:rPr>
        <w:t>Fes</w:t>
      </w:r>
      <w:r>
        <w:rPr>
          <w:b/>
          <w:sz w:val="22"/>
        </w:rPr>
        <w:t>tlegen des Anwendungsbereichs des</w:t>
      </w:r>
      <w:r>
        <w:rPr>
          <w:b/>
          <w:spacing w:val="-13"/>
          <w:sz w:val="22"/>
        </w:rPr>
        <w:t> </w:t>
      </w:r>
      <w:r>
        <w:rPr>
          <w:b/>
          <w:sz w:val="22"/>
        </w:rPr>
        <w:t>Informationssicherheitsmanagementsystems</w:t>
      </w:r>
    </w:p>
    <w:p>
      <w:pPr>
        <w:pStyle w:val="BodyText"/>
        <w:spacing w:before="8"/>
        <w:rPr>
          <w:b/>
        </w:rPr>
      </w:pPr>
    </w:p>
    <w:p>
      <w:pPr>
        <w:pStyle w:val="BodyText"/>
        <w:ind w:left="1156"/>
      </w:pPr>
      <w:r>
        <w:rPr/>
        <w:t>Die Organisation muss die Grenzen und die Anwendbarkeit des Informationssicherheitsmanagementsystems bestimmen, um dessen Anwendungsbereich festzulegen.</w:t>
      </w:r>
    </w:p>
    <w:p>
      <w:pPr>
        <w:pStyle w:val="BodyText"/>
        <w:spacing w:before="11"/>
      </w:pPr>
    </w:p>
    <w:p>
      <w:pPr>
        <w:pStyle w:val="BodyText"/>
        <w:ind w:left="1156"/>
      </w:pPr>
      <w:r>
        <w:rPr/>
        <w:t>Bei der Festlegung des Anwendungsbereichs muss die Organisation:</w:t>
      </w:r>
    </w:p>
    <w:p>
      <w:pPr>
        <w:pStyle w:val="BodyText"/>
        <w:spacing w:before="10"/>
      </w:pPr>
    </w:p>
    <w:p>
      <w:pPr>
        <w:pStyle w:val="ListParagraph"/>
        <w:numPr>
          <w:ilvl w:val="0"/>
          <w:numId w:val="4"/>
        </w:numPr>
        <w:tabs>
          <w:tab w:pos="1556" w:val="left" w:leader="none"/>
          <w:tab w:pos="1557" w:val="left" w:leader="none"/>
        </w:tabs>
        <w:spacing w:line="240" w:lineRule="auto" w:before="0" w:after="0"/>
        <w:ind w:left="1556" w:right="0" w:hanging="402"/>
        <w:jc w:val="left"/>
        <w:rPr>
          <w:sz w:val="20"/>
        </w:rPr>
      </w:pPr>
      <w:r>
        <w:rPr>
          <w:sz w:val="20"/>
        </w:rPr>
        <w:t>die unter 4.1 genannten externen und internen</w:t>
      </w:r>
      <w:r>
        <w:rPr>
          <w:spacing w:val="1"/>
          <w:sz w:val="20"/>
        </w:rPr>
        <w:t> </w:t>
      </w:r>
      <w:r>
        <w:rPr>
          <w:sz w:val="20"/>
        </w:rPr>
        <w:t>Themen;</w:t>
      </w:r>
    </w:p>
    <w:p>
      <w:pPr>
        <w:pStyle w:val="BodyText"/>
        <w:spacing w:before="8"/>
      </w:pPr>
    </w:p>
    <w:p>
      <w:pPr>
        <w:pStyle w:val="ListParagraph"/>
        <w:numPr>
          <w:ilvl w:val="0"/>
          <w:numId w:val="4"/>
        </w:numPr>
        <w:tabs>
          <w:tab w:pos="1556" w:val="left" w:leader="none"/>
          <w:tab w:pos="1557" w:val="left" w:leader="none"/>
        </w:tabs>
        <w:spacing w:line="240" w:lineRule="auto" w:before="0" w:after="0"/>
        <w:ind w:left="1556" w:right="0" w:hanging="402"/>
        <w:jc w:val="left"/>
        <w:rPr>
          <w:sz w:val="20"/>
        </w:rPr>
      </w:pPr>
      <w:r>
        <w:rPr>
          <w:sz w:val="20"/>
        </w:rPr>
        <w:t>die unter 4.2 genannten Anforderungen; und</w:t>
      </w:r>
    </w:p>
    <w:p>
      <w:pPr>
        <w:pStyle w:val="BodyText"/>
        <w:spacing w:before="10"/>
      </w:pPr>
    </w:p>
    <w:p>
      <w:pPr>
        <w:pStyle w:val="ListParagraph"/>
        <w:numPr>
          <w:ilvl w:val="0"/>
          <w:numId w:val="4"/>
        </w:numPr>
        <w:tabs>
          <w:tab w:pos="1556" w:val="left" w:leader="none"/>
          <w:tab w:pos="1557" w:val="left" w:leader="none"/>
        </w:tabs>
        <w:spacing w:line="240" w:lineRule="auto" w:before="1" w:after="0"/>
        <w:ind w:left="1556" w:right="197" w:hanging="401"/>
        <w:jc w:val="left"/>
        <w:rPr>
          <w:sz w:val="20"/>
        </w:rPr>
      </w:pPr>
      <w:r>
        <w:rPr>
          <w:sz w:val="20"/>
        </w:rPr>
        <w:t>Schnittstellen und Abhängigkeiten zwischen Tätigkeiten, die von der Organisation selbst durchgeführt werden, und Tätigkeiten, die von anderen Organisationen durchgeführt</w:t>
      </w:r>
      <w:r>
        <w:rPr>
          <w:spacing w:val="-7"/>
          <w:sz w:val="20"/>
        </w:rPr>
        <w:t> </w:t>
      </w:r>
      <w:r>
        <w:rPr>
          <w:sz w:val="20"/>
        </w:rPr>
        <w:t>werden</w:t>
      </w:r>
    </w:p>
    <w:p>
      <w:pPr>
        <w:pStyle w:val="BodyText"/>
        <w:spacing w:before="10"/>
      </w:pPr>
    </w:p>
    <w:p>
      <w:pPr>
        <w:pStyle w:val="BodyText"/>
        <w:ind w:left="1155"/>
      </w:pPr>
      <w:r>
        <w:rPr/>
        <w:t>berücksichtigen.</w:t>
      </w:r>
    </w:p>
    <w:p>
      <w:pPr>
        <w:pStyle w:val="BodyText"/>
        <w:spacing w:before="11"/>
      </w:pPr>
    </w:p>
    <w:p>
      <w:pPr>
        <w:pStyle w:val="BodyText"/>
        <w:ind w:left="1155"/>
      </w:pPr>
      <w:r>
        <w:rPr/>
        <w:t>Der Anwendungsbereich muss als dokumentierte Information verfügbar</w:t>
      </w:r>
      <w:r>
        <w:rPr>
          <w:spacing w:val="-40"/>
        </w:rPr>
        <w:t> </w:t>
      </w:r>
      <w:r>
        <w:rPr/>
        <w:t>sein.</w:t>
      </w:r>
    </w:p>
    <w:p>
      <w:pPr>
        <w:pStyle w:val="BodyText"/>
        <w:spacing w:before="8"/>
      </w:pPr>
    </w:p>
    <w:p>
      <w:pPr>
        <w:pStyle w:val="ListParagraph"/>
        <w:numPr>
          <w:ilvl w:val="1"/>
          <w:numId w:val="2"/>
        </w:numPr>
        <w:tabs>
          <w:tab w:pos="1655" w:val="left" w:leader="none"/>
        </w:tabs>
        <w:spacing w:line="240" w:lineRule="auto" w:before="1" w:after="0"/>
        <w:ind w:left="1655" w:right="0" w:hanging="499"/>
        <w:jc w:val="left"/>
        <w:rPr>
          <w:b/>
          <w:sz w:val="22"/>
        </w:rPr>
      </w:pPr>
      <w:bookmarkStart w:name="4.4 Informationssicherheitsmanagementsys" w:id="37"/>
      <w:bookmarkEnd w:id="37"/>
      <w:r>
        <w:rPr/>
      </w:r>
      <w:bookmarkStart w:name="_bookmark12" w:id="38"/>
      <w:bookmarkEnd w:id="38"/>
      <w:r>
        <w:rPr/>
      </w:r>
      <w:bookmarkStart w:name="_bookmark12" w:id="39"/>
      <w:bookmarkEnd w:id="39"/>
      <w:r>
        <w:rPr>
          <w:b/>
          <w:sz w:val="22"/>
        </w:rPr>
        <w:t>I</w:t>
      </w:r>
      <w:r>
        <w:rPr>
          <w:b/>
          <w:sz w:val="22"/>
        </w:rPr>
        <w:t>nformationssicherheitsmanagementsystem</w:t>
      </w:r>
    </w:p>
    <w:p>
      <w:pPr>
        <w:pStyle w:val="BodyText"/>
        <w:spacing w:before="8"/>
        <w:rPr>
          <w:b/>
        </w:rPr>
      </w:pPr>
    </w:p>
    <w:p>
      <w:pPr>
        <w:pStyle w:val="BodyText"/>
        <w:ind w:left="1156" w:right="197"/>
        <w:jc w:val="both"/>
      </w:pPr>
      <w:r>
        <w:rPr/>
        <w:t>Die Organisation muss entsprechend den Anforderungen dieser Internationalen Norm ein Informationssicherheitsmanagementsystem aufbauen, verwirklichen, aufrechterhalten und fortlaufend verbessern.</w:t>
      </w:r>
    </w:p>
    <w:p>
      <w:pPr>
        <w:pStyle w:val="BodyText"/>
        <w:spacing w:before="11"/>
        <w:rPr>
          <w:sz w:val="22"/>
        </w:rPr>
      </w:pPr>
    </w:p>
    <w:p>
      <w:pPr>
        <w:pStyle w:val="ListParagraph"/>
        <w:numPr>
          <w:ilvl w:val="0"/>
          <w:numId w:val="2"/>
        </w:numPr>
        <w:tabs>
          <w:tab w:pos="1559" w:val="left" w:leader="none"/>
          <w:tab w:pos="1560" w:val="left" w:leader="none"/>
        </w:tabs>
        <w:spacing w:line="240" w:lineRule="auto" w:before="0" w:after="0"/>
        <w:ind w:left="1559" w:right="0" w:hanging="404"/>
        <w:jc w:val="left"/>
        <w:rPr>
          <w:b/>
          <w:sz w:val="24"/>
        </w:rPr>
      </w:pPr>
      <w:bookmarkStart w:name="5 Führung" w:id="40"/>
      <w:bookmarkEnd w:id="40"/>
      <w:r>
        <w:rPr/>
      </w:r>
      <w:bookmarkStart w:name="_bookmark13" w:id="41"/>
      <w:bookmarkEnd w:id="41"/>
      <w:r>
        <w:rPr/>
      </w:r>
      <w:bookmarkStart w:name="_bookmark13" w:id="42"/>
      <w:bookmarkEnd w:id="42"/>
      <w:r>
        <w:rPr>
          <w:b/>
          <w:sz w:val="24"/>
        </w:rPr>
        <w:t>Füh</w:t>
      </w:r>
      <w:r>
        <w:rPr>
          <w:b/>
          <w:sz w:val="24"/>
        </w:rPr>
        <w:t>rung</w:t>
      </w:r>
    </w:p>
    <w:p>
      <w:pPr>
        <w:pStyle w:val="BodyText"/>
        <w:spacing w:before="7"/>
        <w:rPr>
          <w:b/>
        </w:rPr>
      </w:pPr>
    </w:p>
    <w:p>
      <w:pPr>
        <w:pStyle w:val="ListParagraph"/>
        <w:numPr>
          <w:ilvl w:val="1"/>
          <w:numId w:val="2"/>
        </w:numPr>
        <w:tabs>
          <w:tab w:pos="1655" w:val="left" w:leader="none"/>
        </w:tabs>
        <w:spacing w:line="240" w:lineRule="auto" w:before="0" w:after="0"/>
        <w:ind w:left="1655" w:right="0" w:hanging="499"/>
        <w:jc w:val="left"/>
        <w:rPr>
          <w:b/>
          <w:sz w:val="22"/>
        </w:rPr>
      </w:pPr>
      <w:bookmarkStart w:name="5.1 Führung und Verpflichtung" w:id="43"/>
      <w:bookmarkEnd w:id="43"/>
      <w:r>
        <w:rPr/>
      </w:r>
      <w:bookmarkStart w:name="_bookmark14" w:id="44"/>
      <w:bookmarkEnd w:id="44"/>
      <w:r>
        <w:rPr/>
      </w:r>
      <w:bookmarkStart w:name="_bookmark14" w:id="45"/>
      <w:bookmarkEnd w:id="45"/>
      <w:r>
        <w:rPr>
          <w:b/>
          <w:sz w:val="22"/>
        </w:rPr>
        <w:t>Füh</w:t>
      </w:r>
      <w:r>
        <w:rPr>
          <w:b/>
          <w:sz w:val="22"/>
        </w:rPr>
        <w:t>rung und Verpflichtung</w:t>
      </w:r>
    </w:p>
    <w:p>
      <w:pPr>
        <w:pStyle w:val="BodyText"/>
        <w:spacing w:before="9"/>
        <w:rPr>
          <w:b/>
        </w:rPr>
      </w:pPr>
    </w:p>
    <w:p>
      <w:pPr>
        <w:pStyle w:val="BodyText"/>
        <w:ind w:left="1156" w:right="199"/>
        <w:jc w:val="both"/>
      </w:pPr>
      <w:r>
        <w:rPr/>
        <w:t>Die oberste Leitung muss in Bezug auf das Informationssicherheitsmanagementsystem Führung und Verpflichtung zeigen, indem sie:</w:t>
      </w:r>
    </w:p>
    <w:p>
      <w:pPr>
        <w:pStyle w:val="BodyText"/>
        <w:spacing w:before="10"/>
      </w:pPr>
    </w:p>
    <w:p>
      <w:pPr>
        <w:pStyle w:val="ListParagraph"/>
        <w:numPr>
          <w:ilvl w:val="0"/>
          <w:numId w:val="5"/>
        </w:numPr>
        <w:tabs>
          <w:tab w:pos="1556" w:val="left" w:leader="none"/>
          <w:tab w:pos="1557" w:val="left" w:leader="none"/>
        </w:tabs>
        <w:spacing w:line="240" w:lineRule="auto" w:before="1" w:after="0"/>
        <w:ind w:left="1556" w:right="195" w:hanging="401"/>
        <w:jc w:val="left"/>
        <w:rPr>
          <w:sz w:val="20"/>
        </w:rPr>
      </w:pPr>
      <w:r>
        <w:rPr>
          <w:sz w:val="20"/>
        </w:rPr>
        <w:t>sicherstellt, dass die Informationssicherheitspolitik und die Informationssicherheitsziele festgelegt und mit der strategischen Ausrichtung der Organisation vereinbar</w:t>
      </w:r>
      <w:r>
        <w:rPr>
          <w:spacing w:val="-2"/>
          <w:sz w:val="20"/>
        </w:rPr>
        <w:t> </w:t>
      </w:r>
      <w:r>
        <w:rPr>
          <w:sz w:val="20"/>
        </w:rPr>
        <w:t>sind;</w:t>
      </w:r>
    </w:p>
    <w:p>
      <w:pPr>
        <w:pStyle w:val="BodyText"/>
        <w:spacing w:before="10"/>
      </w:pPr>
    </w:p>
    <w:p>
      <w:pPr>
        <w:pStyle w:val="ListParagraph"/>
        <w:numPr>
          <w:ilvl w:val="0"/>
          <w:numId w:val="5"/>
        </w:numPr>
        <w:tabs>
          <w:tab w:pos="1556" w:val="left" w:leader="none"/>
          <w:tab w:pos="1557" w:val="left" w:leader="none"/>
          <w:tab w:pos="2790" w:val="left" w:leader="none"/>
          <w:tab w:pos="3445" w:val="left" w:leader="none"/>
          <w:tab w:pos="3946" w:val="left" w:leader="none"/>
          <w:tab w:pos="5501" w:val="left" w:leader="none"/>
          <w:tab w:pos="6058" w:val="left" w:leader="none"/>
          <w:tab w:pos="10251" w:val="left" w:leader="none"/>
          <w:tab w:pos="10638" w:val="left" w:leader="none"/>
        </w:tabs>
        <w:spacing w:line="240" w:lineRule="auto" w:before="1" w:after="0"/>
        <w:ind w:left="1556" w:right="199" w:hanging="401"/>
        <w:jc w:val="left"/>
        <w:rPr>
          <w:sz w:val="20"/>
        </w:rPr>
      </w:pPr>
      <w:r>
        <w:rPr>
          <w:sz w:val="20"/>
        </w:rPr>
        <w:t>sicherstellt,</w:t>
        <w:tab/>
        <w:t>dass</w:t>
        <w:tab/>
        <w:t>die</w:t>
        <w:tab/>
        <w:t>Anforderungen</w:t>
        <w:tab/>
        <w:t>des</w:t>
        <w:tab/>
        <w:t>Informationssicherheitsmanagementsystems</w:t>
        <w:tab/>
        <w:t>in</w:t>
        <w:tab/>
      </w:r>
      <w:r>
        <w:rPr>
          <w:spacing w:val="-6"/>
          <w:sz w:val="20"/>
        </w:rPr>
        <w:t>die </w:t>
      </w:r>
      <w:r>
        <w:rPr>
          <w:sz w:val="20"/>
        </w:rPr>
        <w:t>Geschäftsprozesse der Organisation integriert</w:t>
      </w:r>
      <w:r>
        <w:rPr>
          <w:spacing w:val="-3"/>
          <w:sz w:val="20"/>
        </w:rPr>
        <w:t> </w:t>
      </w:r>
      <w:r>
        <w:rPr>
          <w:sz w:val="20"/>
        </w:rPr>
        <w:t>werden;</w:t>
      </w:r>
    </w:p>
    <w:p>
      <w:pPr>
        <w:pStyle w:val="BodyText"/>
        <w:spacing w:before="8"/>
      </w:pPr>
    </w:p>
    <w:p>
      <w:pPr>
        <w:pStyle w:val="ListParagraph"/>
        <w:numPr>
          <w:ilvl w:val="0"/>
          <w:numId w:val="5"/>
        </w:numPr>
        <w:tabs>
          <w:tab w:pos="1556" w:val="left" w:leader="none"/>
          <w:tab w:pos="1557" w:val="left" w:leader="none"/>
        </w:tabs>
        <w:spacing w:line="240" w:lineRule="auto" w:before="0" w:after="0"/>
        <w:ind w:left="1556" w:right="199" w:hanging="401"/>
        <w:jc w:val="left"/>
        <w:rPr>
          <w:sz w:val="20"/>
        </w:rPr>
      </w:pPr>
      <w:r>
        <w:rPr>
          <w:sz w:val="20"/>
        </w:rPr>
        <w:t>sicherstellt, dass die für das Informationssicherheitsmanagementsystem erforderlichen Ressourcen zur Verfügung</w:t>
      </w:r>
      <w:r>
        <w:rPr>
          <w:spacing w:val="-2"/>
          <w:sz w:val="20"/>
        </w:rPr>
        <w:t> </w:t>
      </w:r>
      <w:r>
        <w:rPr>
          <w:sz w:val="20"/>
        </w:rPr>
        <w:t>stehen;</w:t>
      </w:r>
    </w:p>
    <w:p>
      <w:pPr>
        <w:pStyle w:val="BodyText"/>
        <w:spacing w:before="11"/>
      </w:pPr>
    </w:p>
    <w:p>
      <w:pPr>
        <w:pStyle w:val="ListParagraph"/>
        <w:numPr>
          <w:ilvl w:val="0"/>
          <w:numId w:val="5"/>
        </w:numPr>
        <w:tabs>
          <w:tab w:pos="1556" w:val="left" w:leader="none"/>
          <w:tab w:pos="1557" w:val="left" w:leader="none"/>
        </w:tabs>
        <w:spacing w:line="240" w:lineRule="auto" w:before="0" w:after="0"/>
        <w:ind w:left="1556" w:right="198" w:hanging="401"/>
        <w:jc w:val="left"/>
        <w:rPr>
          <w:sz w:val="20"/>
        </w:rPr>
      </w:pPr>
      <w:r>
        <w:rPr>
          <w:sz w:val="20"/>
        </w:rPr>
        <w:t>die Bedeutung eines wirksamen Informationssicherheitsmanagements sowie die Wichtigkeit der Erfüllung der Anforderungen des Informationssicherheitsmanagementsystems</w:t>
      </w:r>
      <w:r>
        <w:rPr>
          <w:spacing w:val="-3"/>
          <w:sz w:val="20"/>
        </w:rPr>
        <w:t> </w:t>
      </w:r>
      <w:r>
        <w:rPr>
          <w:sz w:val="20"/>
        </w:rPr>
        <w:t>vermittelt;</w:t>
      </w:r>
    </w:p>
    <w:p>
      <w:pPr>
        <w:pStyle w:val="BodyText"/>
        <w:spacing w:before="10"/>
      </w:pPr>
    </w:p>
    <w:p>
      <w:pPr>
        <w:pStyle w:val="ListParagraph"/>
        <w:numPr>
          <w:ilvl w:val="0"/>
          <w:numId w:val="5"/>
        </w:numPr>
        <w:tabs>
          <w:tab w:pos="1556" w:val="left" w:leader="none"/>
          <w:tab w:pos="1557" w:val="left" w:leader="none"/>
        </w:tabs>
        <w:spacing w:line="240" w:lineRule="auto" w:before="1" w:after="0"/>
        <w:ind w:left="1556" w:right="198" w:hanging="401"/>
        <w:jc w:val="left"/>
        <w:rPr>
          <w:sz w:val="20"/>
        </w:rPr>
      </w:pPr>
      <w:r>
        <w:rPr>
          <w:sz w:val="20"/>
        </w:rPr>
        <w:t>sicherstellt, dass das Informationssicherheitsmanagementsystem sein beabsichtigtes Ergebnis bzw. seine beabsichtigten Ergebnisse erzielt;</w:t>
      </w:r>
    </w:p>
    <w:p>
      <w:pPr>
        <w:pStyle w:val="BodyText"/>
        <w:spacing w:before="8"/>
      </w:pPr>
    </w:p>
    <w:p>
      <w:pPr>
        <w:pStyle w:val="ListParagraph"/>
        <w:numPr>
          <w:ilvl w:val="0"/>
          <w:numId w:val="5"/>
        </w:numPr>
        <w:tabs>
          <w:tab w:pos="1556" w:val="left" w:leader="none"/>
          <w:tab w:pos="1557" w:val="left" w:leader="none"/>
          <w:tab w:pos="2895" w:val="left" w:leader="none"/>
          <w:tab w:pos="4025" w:val="left" w:leader="none"/>
          <w:tab w:pos="4841" w:val="left" w:leader="none"/>
          <w:tab w:pos="6317" w:val="left" w:leader="none"/>
          <w:tab w:pos="7291" w:val="left" w:leader="none"/>
          <w:tab w:pos="8251" w:val="left" w:leader="none"/>
          <w:tab w:pos="9007" w:val="left" w:leader="none"/>
          <w:tab w:pos="10586" w:val="left" w:leader="none"/>
        </w:tabs>
        <w:spacing w:line="240" w:lineRule="auto" w:before="0" w:after="0"/>
        <w:ind w:left="1556" w:right="198" w:hanging="401"/>
        <w:jc w:val="left"/>
        <w:rPr>
          <w:sz w:val="20"/>
        </w:rPr>
      </w:pPr>
      <w:r>
        <w:rPr>
          <w:sz w:val="20"/>
        </w:rPr>
        <w:t>Personen</w:t>
        <w:tab/>
        <w:t>anleitet</w:t>
        <w:tab/>
        <w:t>und</w:t>
        <w:tab/>
        <w:t>unterstützt,</w:t>
        <w:tab/>
        <w:t>damit</w:t>
        <w:tab/>
        <w:t>diese</w:t>
        <w:tab/>
        <w:t>zur</w:t>
        <w:tab/>
        <w:t>Wirksamkeit</w:t>
        <w:tab/>
      </w:r>
      <w:r>
        <w:rPr>
          <w:spacing w:val="-7"/>
          <w:sz w:val="20"/>
        </w:rPr>
        <w:t>des </w:t>
      </w:r>
      <w:r>
        <w:rPr>
          <w:sz w:val="20"/>
        </w:rPr>
        <w:t>Informationssicherheitsmanagementsystems beitragen können;</w:t>
      </w:r>
    </w:p>
    <w:p>
      <w:pPr>
        <w:pStyle w:val="BodyText"/>
        <w:spacing w:before="11"/>
      </w:pPr>
    </w:p>
    <w:p>
      <w:pPr>
        <w:pStyle w:val="ListParagraph"/>
        <w:numPr>
          <w:ilvl w:val="0"/>
          <w:numId w:val="5"/>
        </w:numPr>
        <w:tabs>
          <w:tab w:pos="1556" w:val="left" w:leader="none"/>
          <w:tab w:pos="1557" w:val="left" w:leader="none"/>
        </w:tabs>
        <w:spacing w:line="240" w:lineRule="auto" w:before="0" w:after="0"/>
        <w:ind w:left="1556" w:right="0" w:hanging="402"/>
        <w:jc w:val="left"/>
        <w:rPr>
          <w:sz w:val="20"/>
        </w:rPr>
      </w:pPr>
      <w:r>
        <w:rPr>
          <w:sz w:val="20"/>
        </w:rPr>
        <w:t>fortlaufende Verbesserung fördert;</w:t>
      </w:r>
      <w:r>
        <w:rPr>
          <w:spacing w:val="2"/>
          <w:sz w:val="20"/>
        </w:rPr>
        <w:t> </w:t>
      </w:r>
      <w:r>
        <w:rPr>
          <w:sz w:val="20"/>
        </w:rPr>
        <w:t>und</w:t>
      </w:r>
    </w:p>
    <w:p>
      <w:pPr>
        <w:pStyle w:val="BodyText"/>
        <w:spacing w:before="10"/>
      </w:pPr>
    </w:p>
    <w:p>
      <w:pPr>
        <w:pStyle w:val="ListParagraph"/>
        <w:numPr>
          <w:ilvl w:val="0"/>
          <w:numId w:val="5"/>
        </w:numPr>
        <w:tabs>
          <w:tab w:pos="1556" w:val="left" w:leader="none"/>
          <w:tab w:pos="1557" w:val="left" w:leader="none"/>
          <w:tab w:pos="2400" w:val="left" w:leader="none"/>
          <w:tab w:pos="3446" w:val="left" w:leader="none"/>
          <w:tab w:pos="5017" w:val="left" w:leader="none"/>
          <w:tab w:pos="6229" w:val="left" w:leader="none"/>
          <w:tab w:pos="6735" w:val="left" w:leader="none"/>
          <w:tab w:pos="7467" w:val="left" w:leader="none"/>
          <w:tab w:pos="8913" w:val="left" w:leader="none"/>
          <w:tab w:pos="9292" w:val="left" w:leader="none"/>
          <w:tab w:pos="10026" w:val="left" w:leader="none"/>
        </w:tabs>
        <w:spacing w:line="240" w:lineRule="auto" w:before="0" w:after="0"/>
        <w:ind w:left="1556" w:right="198" w:hanging="401"/>
        <w:jc w:val="left"/>
        <w:rPr>
          <w:sz w:val="20"/>
        </w:rPr>
      </w:pPr>
      <w:r>
        <w:rPr>
          <w:sz w:val="20"/>
        </w:rPr>
        <w:t>andere</w:t>
        <w:tab/>
        <w:t>relevante</w:t>
        <w:tab/>
        <w:t>Führungskräfte</w:t>
        <w:tab/>
        <w:t>unterstützt,</w:t>
        <w:tab/>
        <w:t>um</w:t>
        <w:tab/>
        <w:t>deren</w:t>
        <w:tab/>
        <w:t>Führungsrolle</w:t>
        <w:tab/>
        <w:t>in</w:t>
        <w:tab/>
        <w:t>deren</w:t>
        <w:tab/>
        <w:t>jeweiligen Verantwortungsbereichen deutlich zu</w:t>
      </w:r>
      <w:r>
        <w:rPr>
          <w:spacing w:val="-1"/>
          <w:sz w:val="20"/>
        </w:rPr>
        <w:t> </w:t>
      </w:r>
      <w:r>
        <w:rPr>
          <w:sz w:val="20"/>
        </w:rPr>
        <w:t>machen.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21"/>
        </w:rPr>
      </w:pPr>
    </w:p>
    <w:p>
      <w:pPr>
        <w:spacing w:before="0"/>
        <w:ind w:left="0" w:right="196" w:firstLine="0"/>
        <w:jc w:val="right"/>
        <w:rPr>
          <w:b/>
          <w:sz w:val="22"/>
        </w:rPr>
      </w:pPr>
      <w:r>
        <w:rPr/>
        <w:pict>
          <v:shape style="position:absolute;margin-left:9.663086pt;margin-top:-61.776386pt;width:9.85pt;height:83.7pt;mso-position-horizontal-relative:page;mso-position-vertical-relative:paragraph;z-index:-254712832"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b/>
          <w:w w:val="100"/>
          <w:sz w:val="22"/>
        </w:rPr>
        <w:t>7</w:t>
      </w:r>
    </w:p>
    <w:p>
      <w:pPr>
        <w:spacing w:after="0"/>
        <w:jc w:val="right"/>
        <w:rPr>
          <w:sz w:val="22"/>
        </w:rPr>
        <w:sectPr>
          <w:footerReference w:type="default" r:id="rId18"/>
          <w:pgSz w:w="11910" w:h="16840"/>
          <w:pgMar w:footer="0" w:header="710" w:top="1540" w:bottom="280" w:left="260" w:right="540"/>
        </w:sectPr>
      </w:pPr>
    </w:p>
    <w:p>
      <w:pPr>
        <w:pStyle w:val="ListParagraph"/>
        <w:numPr>
          <w:ilvl w:val="1"/>
          <w:numId w:val="2"/>
        </w:numPr>
        <w:tabs>
          <w:tab w:pos="976" w:val="left" w:leader="none"/>
        </w:tabs>
        <w:spacing w:line="240" w:lineRule="auto" w:before="96" w:after="0"/>
        <w:ind w:left="975" w:right="0" w:hanging="500"/>
        <w:jc w:val="left"/>
        <w:rPr>
          <w:b/>
          <w:sz w:val="22"/>
        </w:rPr>
      </w:pPr>
      <w:bookmarkStart w:name="5.2 Politik" w:id="46"/>
      <w:bookmarkEnd w:id="46"/>
      <w:r>
        <w:rPr/>
      </w:r>
      <w:bookmarkStart w:name="_bookmark15" w:id="47"/>
      <w:bookmarkEnd w:id="47"/>
      <w:r>
        <w:rPr/>
      </w:r>
      <w:bookmarkStart w:name="_bookmark15" w:id="48"/>
      <w:bookmarkEnd w:id="48"/>
      <w:r>
        <w:rPr>
          <w:b/>
          <w:sz w:val="22"/>
        </w:rPr>
        <w:t>P</w:t>
      </w:r>
      <w:r>
        <w:rPr>
          <w:b/>
          <w:sz w:val="22"/>
        </w:rPr>
        <w:t>olitik</w:t>
      </w:r>
    </w:p>
    <w:p>
      <w:pPr>
        <w:pStyle w:val="BodyText"/>
        <w:spacing w:before="8"/>
        <w:rPr>
          <w:b/>
        </w:rPr>
      </w:pPr>
    </w:p>
    <w:p>
      <w:pPr>
        <w:pStyle w:val="BodyText"/>
        <w:ind w:left="476"/>
      </w:pPr>
      <w:r>
        <w:rPr/>
        <w:t>Die oberste Leitung muss eine Informationssicherheitspolitik festlegen, die:</w:t>
      </w:r>
    </w:p>
    <w:p>
      <w:pPr>
        <w:pStyle w:val="BodyText"/>
        <w:spacing w:before="10"/>
      </w:pPr>
    </w:p>
    <w:p>
      <w:pPr>
        <w:pStyle w:val="ListParagraph"/>
        <w:numPr>
          <w:ilvl w:val="0"/>
          <w:numId w:val="6"/>
        </w:numPr>
        <w:tabs>
          <w:tab w:pos="877" w:val="left" w:leader="none"/>
          <w:tab w:pos="878" w:val="left" w:leader="none"/>
        </w:tabs>
        <w:spacing w:line="240" w:lineRule="auto" w:before="0" w:after="0"/>
        <w:ind w:left="877" w:right="0" w:hanging="402"/>
        <w:jc w:val="left"/>
        <w:rPr>
          <w:sz w:val="20"/>
        </w:rPr>
      </w:pPr>
      <w:r>
        <w:rPr>
          <w:sz w:val="20"/>
        </w:rPr>
        <w:t>für den Zweck der Organisation angemessen</w:t>
      </w:r>
      <w:r>
        <w:rPr>
          <w:spacing w:val="-2"/>
          <w:sz w:val="20"/>
        </w:rPr>
        <w:t> </w:t>
      </w:r>
      <w:r>
        <w:rPr>
          <w:sz w:val="20"/>
        </w:rPr>
        <w:t>ist;</w:t>
      </w:r>
    </w:p>
    <w:p>
      <w:pPr>
        <w:pStyle w:val="BodyText"/>
        <w:spacing w:before="11"/>
      </w:pPr>
    </w:p>
    <w:p>
      <w:pPr>
        <w:pStyle w:val="ListParagraph"/>
        <w:numPr>
          <w:ilvl w:val="0"/>
          <w:numId w:val="6"/>
        </w:numPr>
        <w:tabs>
          <w:tab w:pos="877" w:val="left" w:leader="none"/>
          <w:tab w:pos="878" w:val="left" w:leader="none"/>
          <w:tab w:pos="3593" w:val="left" w:leader="none"/>
          <w:tab w:pos="4789" w:val="left" w:leader="none"/>
          <w:tab w:pos="5907" w:val="left" w:leader="none"/>
          <w:tab w:pos="6558" w:val="left" w:leader="none"/>
          <w:tab w:pos="7141" w:val="left" w:leader="none"/>
          <w:tab w:pos="8151" w:val="left" w:leader="none"/>
          <w:tab w:pos="8778" w:val="left" w:leader="none"/>
          <w:tab w:pos="9906" w:val="left" w:leader="none"/>
        </w:tabs>
        <w:spacing w:line="240" w:lineRule="auto" w:before="0" w:after="0"/>
        <w:ind w:left="877" w:right="876" w:hanging="401"/>
        <w:jc w:val="left"/>
        <w:rPr>
          <w:sz w:val="20"/>
        </w:rPr>
      </w:pPr>
      <w:r>
        <w:rPr>
          <w:sz w:val="20"/>
        </w:rPr>
        <w:t>Informationssicherheitsziele</w:t>
        <w:tab/>
        <w:t>(siehe</w:t>
      </w:r>
      <w:r>
        <w:rPr>
          <w:spacing w:val="-2"/>
          <w:sz w:val="20"/>
        </w:rPr>
        <w:t> </w:t>
      </w:r>
      <w:r>
        <w:rPr>
          <w:sz w:val="20"/>
        </w:rPr>
        <w:t>6.2)</w:t>
        <w:tab/>
        <w:t>beinhaltet</w:t>
        <w:tab/>
        <w:t>oder</w:t>
        <w:tab/>
        <w:t>den</w:t>
        <w:tab/>
        <w:t>Rahmen</w:t>
        <w:tab/>
        <w:t>zum</w:t>
        <w:tab/>
        <w:t>Festlegen</w:t>
        <w:tab/>
      </w:r>
      <w:r>
        <w:rPr>
          <w:spacing w:val="-7"/>
          <w:sz w:val="20"/>
        </w:rPr>
        <w:t>von </w:t>
      </w:r>
      <w:r>
        <w:rPr>
          <w:sz w:val="20"/>
        </w:rPr>
        <w:t>Informationssicherheitszielen</w:t>
      </w:r>
      <w:r>
        <w:rPr>
          <w:spacing w:val="-2"/>
          <w:sz w:val="20"/>
        </w:rPr>
        <w:t> </w:t>
      </w:r>
      <w:r>
        <w:rPr>
          <w:sz w:val="20"/>
        </w:rPr>
        <w:t>bietet;</w:t>
      </w:r>
    </w:p>
    <w:p>
      <w:pPr>
        <w:pStyle w:val="BodyText"/>
        <w:spacing w:before="8"/>
      </w:pPr>
    </w:p>
    <w:p>
      <w:pPr>
        <w:pStyle w:val="ListParagraph"/>
        <w:numPr>
          <w:ilvl w:val="0"/>
          <w:numId w:val="6"/>
        </w:numPr>
        <w:tabs>
          <w:tab w:pos="877" w:val="left" w:leader="none"/>
          <w:tab w:pos="878" w:val="left" w:leader="none"/>
        </w:tabs>
        <w:spacing w:line="240" w:lineRule="auto" w:before="0" w:after="0"/>
        <w:ind w:left="877" w:right="881" w:hanging="401"/>
        <w:jc w:val="left"/>
        <w:rPr>
          <w:sz w:val="20"/>
        </w:rPr>
      </w:pPr>
      <w:r>
        <w:rPr>
          <w:sz w:val="20"/>
        </w:rPr>
        <w:t>eine Verpflichtung zur Erfüllung zutreffender Anforderungen mit Bezug zur Informationssicherheit enthält; und</w:t>
      </w:r>
    </w:p>
    <w:p>
      <w:pPr>
        <w:pStyle w:val="BodyText"/>
        <w:spacing w:before="11"/>
      </w:pPr>
    </w:p>
    <w:p>
      <w:pPr>
        <w:pStyle w:val="ListParagraph"/>
        <w:numPr>
          <w:ilvl w:val="0"/>
          <w:numId w:val="6"/>
        </w:numPr>
        <w:tabs>
          <w:tab w:pos="877" w:val="left" w:leader="none"/>
          <w:tab w:pos="878" w:val="left" w:leader="none"/>
        </w:tabs>
        <w:spacing w:line="240" w:lineRule="auto" w:before="0" w:after="0"/>
        <w:ind w:left="877" w:right="878" w:hanging="401"/>
        <w:jc w:val="left"/>
        <w:rPr>
          <w:sz w:val="20"/>
        </w:rPr>
      </w:pPr>
      <w:r>
        <w:rPr>
          <w:sz w:val="20"/>
        </w:rPr>
        <w:t>eine Verpflichtung zur fortlaufenden Verbesserung des Informationssicherheitsmanagementsystems enthält.</w:t>
      </w:r>
    </w:p>
    <w:p>
      <w:pPr>
        <w:pStyle w:val="BodyText"/>
        <w:spacing w:before="11"/>
      </w:pPr>
    </w:p>
    <w:p>
      <w:pPr>
        <w:pStyle w:val="BodyText"/>
        <w:ind w:left="476"/>
      </w:pPr>
      <w:r>
        <w:rPr/>
        <w:t>Die Informationssicherheitspolitik muss:</w:t>
      </w:r>
    </w:p>
    <w:p>
      <w:pPr>
        <w:pStyle w:val="BodyText"/>
        <w:spacing w:before="10"/>
      </w:pPr>
    </w:p>
    <w:p>
      <w:pPr>
        <w:pStyle w:val="ListParagraph"/>
        <w:numPr>
          <w:ilvl w:val="0"/>
          <w:numId w:val="6"/>
        </w:numPr>
        <w:tabs>
          <w:tab w:pos="877" w:val="left" w:leader="none"/>
          <w:tab w:pos="878" w:val="left" w:leader="none"/>
        </w:tabs>
        <w:spacing w:line="240" w:lineRule="auto" w:before="0" w:after="0"/>
        <w:ind w:left="877" w:right="0" w:hanging="402"/>
        <w:jc w:val="left"/>
        <w:rPr>
          <w:sz w:val="20"/>
        </w:rPr>
      </w:pPr>
      <w:r>
        <w:rPr>
          <w:sz w:val="20"/>
        </w:rPr>
        <w:t>als dokumentierte Information verfügbar</w:t>
      </w:r>
      <w:r>
        <w:rPr>
          <w:spacing w:val="-1"/>
          <w:sz w:val="20"/>
        </w:rPr>
        <w:t> </w:t>
      </w:r>
      <w:r>
        <w:rPr>
          <w:sz w:val="20"/>
        </w:rPr>
        <w:t>sein;</w:t>
      </w:r>
    </w:p>
    <w:p>
      <w:pPr>
        <w:pStyle w:val="BodyText"/>
        <w:spacing w:before="8"/>
      </w:pPr>
    </w:p>
    <w:p>
      <w:pPr>
        <w:pStyle w:val="ListParagraph"/>
        <w:numPr>
          <w:ilvl w:val="0"/>
          <w:numId w:val="6"/>
        </w:numPr>
        <w:tabs>
          <w:tab w:pos="877" w:val="left" w:leader="none"/>
          <w:tab w:pos="878" w:val="left" w:leader="none"/>
        </w:tabs>
        <w:spacing w:line="240" w:lineRule="auto" w:before="0" w:after="0"/>
        <w:ind w:left="877" w:right="0" w:hanging="402"/>
        <w:jc w:val="left"/>
        <w:rPr>
          <w:sz w:val="20"/>
        </w:rPr>
      </w:pPr>
      <w:r>
        <w:rPr>
          <w:sz w:val="20"/>
        </w:rPr>
        <w:t>innerhalb der Organisation bekanntgemacht werden;</w:t>
      </w:r>
      <w:r>
        <w:rPr>
          <w:spacing w:val="-2"/>
          <w:sz w:val="20"/>
        </w:rPr>
        <w:t> </w:t>
      </w:r>
      <w:r>
        <w:rPr>
          <w:sz w:val="20"/>
        </w:rPr>
        <w:t>und</w:t>
      </w:r>
    </w:p>
    <w:p>
      <w:pPr>
        <w:pStyle w:val="BodyText"/>
        <w:spacing w:before="10"/>
      </w:pPr>
    </w:p>
    <w:p>
      <w:pPr>
        <w:pStyle w:val="ListParagraph"/>
        <w:numPr>
          <w:ilvl w:val="0"/>
          <w:numId w:val="6"/>
        </w:numPr>
        <w:tabs>
          <w:tab w:pos="877" w:val="left" w:leader="none"/>
          <w:tab w:pos="878" w:val="left" w:leader="none"/>
        </w:tabs>
        <w:spacing w:line="240" w:lineRule="auto" w:before="1" w:after="0"/>
        <w:ind w:left="877" w:right="0" w:hanging="402"/>
        <w:jc w:val="left"/>
        <w:rPr>
          <w:sz w:val="20"/>
        </w:rPr>
      </w:pPr>
      <w:r>
        <w:rPr>
          <w:sz w:val="20"/>
        </w:rPr>
        <w:t>für interessierte Parteien verfügbar sein, soweit</w:t>
      </w:r>
      <w:r>
        <w:rPr>
          <w:spacing w:val="-3"/>
          <w:sz w:val="20"/>
        </w:rPr>
        <w:t> </w:t>
      </w:r>
      <w:r>
        <w:rPr>
          <w:sz w:val="20"/>
        </w:rPr>
        <w:t>angemessen.</w:t>
      </w:r>
    </w:p>
    <w:p>
      <w:pPr>
        <w:pStyle w:val="BodyText"/>
        <w:spacing w:before="8"/>
      </w:pPr>
    </w:p>
    <w:p>
      <w:pPr>
        <w:pStyle w:val="ListParagraph"/>
        <w:numPr>
          <w:ilvl w:val="1"/>
          <w:numId w:val="2"/>
        </w:numPr>
        <w:tabs>
          <w:tab w:pos="976" w:val="left" w:leader="none"/>
        </w:tabs>
        <w:spacing w:line="240" w:lineRule="auto" w:before="1" w:after="0"/>
        <w:ind w:left="975" w:right="0" w:hanging="500"/>
        <w:jc w:val="left"/>
        <w:rPr>
          <w:b/>
          <w:sz w:val="22"/>
        </w:rPr>
      </w:pPr>
      <w:bookmarkStart w:name="5.3 Rollen, Verantwortlichkeiten und Bef" w:id="49"/>
      <w:bookmarkEnd w:id="49"/>
      <w:r>
        <w:rPr/>
      </w:r>
      <w:bookmarkStart w:name="_bookmark16" w:id="50"/>
      <w:bookmarkEnd w:id="50"/>
      <w:r>
        <w:rPr/>
      </w:r>
      <w:bookmarkStart w:name="_bookmark16" w:id="51"/>
      <w:bookmarkEnd w:id="51"/>
      <w:r>
        <w:rPr>
          <w:b/>
          <w:sz w:val="22"/>
        </w:rPr>
        <w:t>R</w:t>
      </w:r>
      <w:r>
        <w:rPr>
          <w:b/>
          <w:sz w:val="22"/>
        </w:rPr>
        <w:t>ollen, Verantwortlichkeiten und Befugnisse in der</w:t>
      </w:r>
      <w:r>
        <w:rPr>
          <w:b/>
          <w:spacing w:val="-5"/>
          <w:sz w:val="22"/>
        </w:rPr>
        <w:t> </w:t>
      </w:r>
      <w:r>
        <w:rPr>
          <w:b/>
          <w:sz w:val="22"/>
        </w:rPr>
        <w:t>Organisation</w:t>
      </w:r>
    </w:p>
    <w:p>
      <w:pPr>
        <w:pStyle w:val="BodyText"/>
        <w:spacing w:before="8"/>
        <w:rPr>
          <w:b/>
        </w:rPr>
      </w:pPr>
    </w:p>
    <w:p>
      <w:pPr>
        <w:pStyle w:val="BodyText"/>
        <w:ind w:left="476" w:right="917"/>
      </w:pPr>
      <w:r>
        <w:rPr/>
        <w:t>Die oberste Leitung muss sicherstellen, dass die Verantwortlichkeiten und Befugnisse für Rollen mit Bezug zur Informationssicherheit zugewiesen und bekannt gemacht</w:t>
      </w:r>
      <w:r>
        <w:rPr>
          <w:spacing w:val="-5"/>
        </w:rPr>
        <w:t> </w:t>
      </w:r>
      <w:r>
        <w:rPr/>
        <w:t>werden.</w:t>
      </w:r>
    </w:p>
    <w:p>
      <w:pPr>
        <w:pStyle w:val="BodyText"/>
        <w:spacing w:before="11"/>
      </w:pPr>
    </w:p>
    <w:p>
      <w:pPr>
        <w:pStyle w:val="BodyText"/>
        <w:ind w:left="476"/>
      </w:pPr>
      <w:r>
        <w:rPr/>
        <w:t>Die oberste Leitung muss die Verantwortlichkeit und Befugnis zuweisen für:</w:t>
      </w:r>
    </w:p>
    <w:p>
      <w:pPr>
        <w:pStyle w:val="BodyText"/>
        <w:spacing w:before="10"/>
      </w:pPr>
    </w:p>
    <w:p>
      <w:pPr>
        <w:pStyle w:val="ListParagraph"/>
        <w:numPr>
          <w:ilvl w:val="0"/>
          <w:numId w:val="7"/>
        </w:numPr>
        <w:tabs>
          <w:tab w:pos="877" w:val="left" w:leader="none"/>
          <w:tab w:pos="878" w:val="left" w:leader="none"/>
        </w:tabs>
        <w:spacing w:line="240" w:lineRule="auto" w:before="0" w:after="0"/>
        <w:ind w:left="877" w:right="877" w:hanging="401"/>
        <w:jc w:val="left"/>
        <w:rPr>
          <w:sz w:val="20"/>
        </w:rPr>
      </w:pPr>
      <w:r>
        <w:rPr>
          <w:sz w:val="20"/>
        </w:rPr>
        <w:t>das Sicherstellen, dass das Informationssicherheitsmanagementsystem die Anforderungen dieser Internationalen Norm erfüllt;</w:t>
      </w:r>
      <w:r>
        <w:rPr>
          <w:spacing w:val="3"/>
          <w:sz w:val="20"/>
        </w:rPr>
        <w:t> </w:t>
      </w:r>
      <w:r>
        <w:rPr>
          <w:sz w:val="20"/>
        </w:rPr>
        <w:t>und</w:t>
      </w:r>
    </w:p>
    <w:p>
      <w:pPr>
        <w:pStyle w:val="BodyText"/>
        <w:spacing w:before="9"/>
      </w:pPr>
    </w:p>
    <w:p>
      <w:pPr>
        <w:pStyle w:val="ListParagraph"/>
        <w:numPr>
          <w:ilvl w:val="0"/>
          <w:numId w:val="7"/>
        </w:numPr>
        <w:tabs>
          <w:tab w:pos="877" w:val="left" w:leader="none"/>
          <w:tab w:pos="878" w:val="left" w:leader="none"/>
        </w:tabs>
        <w:spacing w:line="240" w:lineRule="auto" w:before="0" w:after="0"/>
        <w:ind w:left="877" w:right="0" w:hanging="402"/>
        <w:jc w:val="left"/>
        <w:rPr>
          <w:sz w:val="20"/>
        </w:rPr>
      </w:pPr>
      <w:r>
        <w:rPr>
          <w:sz w:val="20"/>
        </w:rPr>
        <w:t>das Berichten an die oberste Leitung über die Leistung des</w:t>
      </w:r>
      <w:r>
        <w:rPr>
          <w:spacing w:val="-18"/>
          <w:sz w:val="20"/>
        </w:rPr>
        <w:t> </w:t>
      </w:r>
      <w:r>
        <w:rPr>
          <w:sz w:val="20"/>
        </w:rPr>
        <w:t>Informationssicherheitsmanagementsystems.</w:t>
      </w:r>
    </w:p>
    <w:p>
      <w:pPr>
        <w:pStyle w:val="BodyText"/>
        <w:spacing w:before="3"/>
        <w:rPr>
          <w:sz w:val="21"/>
        </w:rPr>
      </w:pPr>
    </w:p>
    <w:p>
      <w:pPr>
        <w:tabs>
          <w:tab w:pos="1916" w:val="left" w:leader="none"/>
        </w:tabs>
        <w:spacing w:line="244" w:lineRule="auto" w:before="0"/>
        <w:ind w:left="476" w:right="917" w:firstLine="0"/>
        <w:jc w:val="left"/>
        <w:rPr>
          <w:sz w:val="18"/>
        </w:rPr>
      </w:pPr>
      <w:r>
        <w:rPr>
          <w:sz w:val="18"/>
        </w:rPr>
        <w:t>ANMERKUNG</w:t>
        <w:tab/>
        <w:t>Die oberste Leitung darf auch Verantwortlichkeiten und Befugnisse für das Berichten der Leistung des Informationssicherheitsmanagementsystems innerhalb der Organisation</w:t>
      </w:r>
      <w:r>
        <w:rPr>
          <w:spacing w:val="-6"/>
          <w:sz w:val="18"/>
        </w:rPr>
        <w:t> </w:t>
      </w:r>
      <w:r>
        <w:rPr>
          <w:sz w:val="18"/>
        </w:rPr>
        <w:t>zuweisen.</w:t>
      </w:r>
    </w:p>
    <w:p>
      <w:pPr>
        <w:pStyle w:val="BodyText"/>
        <w:spacing w:before="5"/>
        <w:rPr>
          <w:sz w:val="22"/>
        </w:rPr>
      </w:pPr>
    </w:p>
    <w:p>
      <w:pPr>
        <w:pStyle w:val="ListParagraph"/>
        <w:numPr>
          <w:ilvl w:val="0"/>
          <w:numId w:val="2"/>
        </w:numPr>
        <w:tabs>
          <w:tab w:pos="879" w:val="left" w:leader="none"/>
          <w:tab w:pos="880" w:val="left" w:leader="none"/>
        </w:tabs>
        <w:spacing w:line="240" w:lineRule="auto" w:before="1" w:after="0"/>
        <w:ind w:left="880" w:right="0" w:hanging="404"/>
        <w:jc w:val="left"/>
        <w:rPr>
          <w:b/>
          <w:sz w:val="24"/>
        </w:rPr>
      </w:pPr>
      <w:bookmarkStart w:name="6 Planung" w:id="52"/>
      <w:bookmarkEnd w:id="52"/>
      <w:r>
        <w:rPr/>
      </w:r>
      <w:bookmarkStart w:name="_bookmark17" w:id="53"/>
      <w:bookmarkEnd w:id="53"/>
      <w:r>
        <w:rPr/>
      </w:r>
      <w:bookmarkStart w:name="_bookmark17" w:id="54"/>
      <w:bookmarkEnd w:id="54"/>
      <w:r>
        <w:rPr>
          <w:b/>
          <w:sz w:val="24"/>
        </w:rPr>
        <w:t>Pla</w:t>
      </w:r>
      <w:r>
        <w:rPr>
          <w:b/>
          <w:sz w:val="24"/>
        </w:rPr>
        <w:t>nung</w:t>
      </w:r>
    </w:p>
    <w:p>
      <w:pPr>
        <w:pStyle w:val="BodyText"/>
        <w:spacing w:before="7"/>
        <w:rPr>
          <w:b/>
        </w:rPr>
      </w:pPr>
    </w:p>
    <w:p>
      <w:pPr>
        <w:pStyle w:val="ListParagraph"/>
        <w:numPr>
          <w:ilvl w:val="1"/>
          <w:numId w:val="2"/>
        </w:numPr>
        <w:tabs>
          <w:tab w:pos="976" w:val="left" w:leader="none"/>
        </w:tabs>
        <w:spacing w:line="240" w:lineRule="auto" w:before="0" w:after="0"/>
        <w:ind w:left="975" w:right="0" w:hanging="500"/>
        <w:jc w:val="left"/>
        <w:rPr>
          <w:b/>
          <w:sz w:val="22"/>
        </w:rPr>
      </w:pPr>
      <w:bookmarkStart w:name="6.1 Maßnahmen zum Umgang mit Risiken und" w:id="55"/>
      <w:bookmarkEnd w:id="55"/>
      <w:r>
        <w:rPr/>
      </w:r>
      <w:bookmarkStart w:name="_bookmark18" w:id="56"/>
      <w:bookmarkEnd w:id="56"/>
      <w:r>
        <w:rPr/>
      </w:r>
      <w:bookmarkStart w:name="_bookmark18" w:id="57"/>
      <w:bookmarkEnd w:id="57"/>
      <w:r>
        <w:rPr>
          <w:b/>
          <w:sz w:val="22"/>
        </w:rPr>
        <w:t>M</w:t>
      </w:r>
      <w:r>
        <w:rPr>
          <w:b/>
          <w:sz w:val="22"/>
        </w:rPr>
        <w:t>aßnahmen zum Umgang mit Risiken und</w:t>
      </w:r>
      <w:r>
        <w:rPr>
          <w:b/>
          <w:spacing w:val="-9"/>
          <w:sz w:val="22"/>
        </w:rPr>
        <w:t> </w:t>
      </w:r>
      <w:r>
        <w:rPr>
          <w:b/>
          <w:sz w:val="22"/>
        </w:rPr>
        <w:t>Chancen</w:t>
      </w:r>
    </w:p>
    <w:p>
      <w:pPr>
        <w:pStyle w:val="BodyText"/>
        <w:spacing w:before="6"/>
        <w:rPr>
          <w:b/>
        </w:rPr>
      </w:pPr>
    </w:p>
    <w:p>
      <w:pPr>
        <w:pStyle w:val="Heading3"/>
        <w:numPr>
          <w:ilvl w:val="2"/>
          <w:numId w:val="2"/>
        </w:numPr>
        <w:tabs>
          <w:tab w:pos="1134" w:val="left" w:leader="none"/>
          <w:tab w:pos="1135" w:val="left" w:leader="none"/>
        </w:tabs>
        <w:spacing w:line="240" w:lineRule="auto" w:before="0" w:after="0"/>
        <w:ind w:left="1134" w:right="0" w:hanging="659"/>
        <w:jc w:val="left"/>
      </w:pPr>
      <w:bookmarkStart w:name="6.1.1 Allgemeines" w:id="58"/>
      <w:bookmarkEnd w:id="58"/>
      <w:r>
        <w:rPr>
          <w:b w:val="0"/>
        </w:rPr>
      </w:r>
      <w:bookmarkStart w:name="6.1.1 Allgemeines" w:id="59"/>
      <w:bookmarkEnd w:id="59"/>
      <w:r>
        <w:rPr/>
        <w:t>A</w:t>
      </w:r>
      <w:r>
        <w:rPr/>
        <w:t>llgemeines</w:t>
      </w:r>
    </w:p>
    <w:p>
      <w:pPr>
        <w:pStyle w:val="BodyText"/>
        <w:spacing w:before="1"/>
        <w:rPr>
          <w:b/>
          <w:sz w:val="21"/>
        </w:rPr>
      </w:pPr>
    </w:p>
    <w:p>
      <w:pPr>
        <w:pStyle w:val="BodyText"/>
        <w:ind w:left="476" w:right="876"/>
        <w:jc w:val="both"/>
      </w:pPr>
      <w:r>
        <w:rPr/>
        <w:t>Bei der Planung für das Informationssicherheitsmanagementsystem muss die Organisation die in 4.1 genannten Themen und die in 4.2 genannten Anforderungen berücksichtigen sowie die Risiken und Chancen bestimmen, die betrachtet werden müssen, um:</w:t>
      </w:r>
    </w:p>
    <w:p>
      <w:pPr>
        <w:pStyle w:val="BodyText"/>
        <w:rPr>
          <w:sz w:val="21"/>
        </w:rPr>
      </w:pPr>
    </w:p>
    <w:p>
      <w:pPr>
        <w:pStyle w:val="ListParagraph"/>
        <w:numPr>
          <w:ilvl w:val="0"/>
          <w:numId w:val="8"/>
        </w:numPr>
        <w:tabs>
          <w:tab w:pos="877" w:val="left" w:leader="none"/>
          <w:tab w:pos="878" w:val="left" w:leader="none"/>
        </w:tabs>
        <w:spacing w:line="240" w:lineRule="auto" w:before="0" w:after="0"/>
        <w:ind w:left="877" w:right="876" w:hanging="401"/>
        <w:jc w:val="left"/>
        <w:rPr>
          <w:sz w:val="20"/>
        </w:rPr>
      </w:pPr>
      <w:r>
        <w:rPr>
          <w:sz w:val="20"/>
        </w:rPr>
        <w:t>sicherzustellen, dass das Informationssicherheitsmanagementsystem seine beabsichtigten Ergebnisse erzielen</w:t>
      </w:r>
      <w:r>
        <w:rPr>
          <w:spacing w:val="-2"/>
          <w:sz w:val="20"/>
        </w:rPr>
        <w:t> </w:t>
      </w:r>
      <w:r>
        <w:rPr>
          <w:sz w:val="20"/>
        </w:rPr>
        <w:t>kann;</w:t>
      </w:r>
    </w:p>
    <w:p>
      <w:pPr>
        <w:pStyle w:val="BodyText"/>
        <w:spacing w:before="8"/>
      </w:pPr>
    </w:p>
    <w:p>
      <w:pPr>
        <w:pStyle w:val="ListParagraph"/>
        <w:numPr>
          <w:ilvl w:val="0"/>
          <w:numId w:val="8"/>
        </w:numPr>
        <w:tabs>
          <w:tab w:pos="877" w:val="left" w:leader="none"/>
          <w:tab w:pos="878" w:val="left" w:leader="none"/>
        </w:tabs>
        <w:spacing w:line="240" w:lineRule="auto" w:before="0" w:after="0"/>
        <w:ind w:left="877" w:right="0" w:hanging="402"/>
        <w:jc w:val="left"/>
        <w:rPr>
          <w:sz w:val="20"/>
        </w:rPr>
      </w:pPr>
      <w:r>
        <w:rPr>
          <w:sz w:val="20"/>
        </w:rPr>
        <w:t>unerwünschte Auswirkungen zu verhindern oder zu verringern; und</w:t>
      </w:r>
    </w:p>
    <w:p>
      <w:pPr>
        <w:pStyle w:val="BodyText"/>
        <w:spacing w:before="11"/>
      </w:pPr>
    </w:p>
    <w:p>
      <w:pPr>
        <w:pStyle w:val="ListParagraph"/>
        <w:numPr>
          <w:ilvl w:val="0"/>
          <w:numId w:val="8"/>
        </w:numPr>
        <w:tabs>
          <w:tab w:pos="877" w:val="left" w:leader="none"/>
          <w:tab w:pos="878" w:val="left" w:leader="none"/>
        </w:tabs>
        <w:spacing w:line="240" w:lineRule="auto" w:before="0" w:after="0"/>
        <w:ind w:left="877" w:right="0" w:hanging="402"/>
        <w:jc w:val="left"/>
        <w:rPr>
          <w:sz w:val="20"/>
        </w:rPr>
      </w:pPr>
      <w:r>
        <w:rPr>
          <w:sz w:val="20"/>
        </w:rPr>
        <w:t>fortlaufende Verbesserung zu</w:t>
      </w:r>
      <w:r>
        <w:rPr>
          <w:spacing w:val="2"/>
          <w:sz w:val="20"/>
        </w:rPr>
        <w:t> </w:t>
      </w:r>
      <w:r>
        <w:rPr>
          <w:sz w:val="20"/>
        </w:rPr>
        <w:t>erreichen.</w:t>
      </w: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23"/>
        </w:rPr>
      </w:pPr>
    </w:p>
    <w:p>
      <w:pPr>
        <w:spacing w:before="0"/>
        <w:ind w:left="476" w:right="0" w:firstLine="0"/>
        <w:jc w:val="left"/>
        <w:rPr>
          <w:b/>
          <w:sz w:val="22"/>
        </w:rPr>
      </w:pPr>
      <w:r>
        <w:rPr/>
        <w:pict>
          <v:shape style="position:absolute;margin-left:9.663086pt;margin-top:-61.776386pt;width:9.85pt;height:83.7pt;mso-position-horizontal-relative:page;mso-position-vertical-relative:paragraph;z-index:-254711808"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b/>
          <w:w w:val="100"/>
          <w:sz w:val="22"/>
        </w:rPr>
        <w:t>8</w:t>
      </w:r>
    </w:p>
    <w:p>
      <w:pPr>
        <w:spacing w:after="0"/>
        <w:jc w:val="left"/>
        <w:rPr>
          <w:sz w:val="22"/>
        </w:rPr>
        <w:sectPr>
          <w:headerReference w:type="even" r:id="rId19"/>
          <w:headerReference w:type="default" r:id="rId20"/>
          <w:footerReference w:type="even" r:id="rId21"/>
          <w:pgSz w:w="11910" w:h="16840"/>
          <w:pgMar w:header="710" w:footer="0" w:top="1540" w:bottom="280" w:left="260" w:right="540"/>
        </w:sectPr>
      </w:pPr>
    </w:p>
    <w:p>
      <w:pPr>
        <w:pStyle w:val="BodyText"/>
        <w:spacing w:before="97"/>
        <w:ind w:left="1156"/>
      </w:pPr>
      <w:r>
        <w:rPr/>
        <w:t>Die Organisation muss planen:</w:t>
      </w:r>
    </w:p>
    <w:p>
      <w:pPr>
        <w:pStyle w:val="BodyText"/>
        <w:spacing w:before="11"/>
      </w:pPr>
    </w:p>
    <w:p>
      <w:pPr>
        <w:pStyle w:val="ListParagraph"/>
        <w:numPr>
          <w:ilvl w:val="0"/>
          <w:numId w:val="8"/>
        </w:numPr>
        <w:tabs>
          <w:tab w:pos="1556" w:val="left" w:leader="none"/>
          <w:tab w:pos="1557" w:val="left" w:leader="none"/>
        </w:tabs>
        <w:spacing w:line="240" w:lineRule="auto" w:before="0" w:after="0"/>
        <w:ind w:left="1556" w:right="0" w:hanging="401"/>
        <w:jc w:val="left"/>
        <w:rPr>
          <w:sz w:val="20"/>
        </w:rPr>
      </w:pPr>
      <w:r>
        <w:rPr>
          <w:sz w:val="20"/>
        </w:rPr>
        <w:t>Maßnahmen zum Umgang mit diesen Risiken und Chancen;</w:t>
      </w:r>
      <w:r>
        <w:rPr>
          <w:spacing w:val="-1"/>
          <w:sz w:val="20"/>
        </w:rPr>
        <w:t> </w:t>
      </w:r>
      <w:r>
        <w:rPr>
          <w:sz w:val="20"/>
        </w:rPr>
        <w:t>und</w:t>
      </w:r>
    </w:p>
    <w:p>
      <w:pPr>
        <w:pStyle w:val="BodyText"/>
        <w:spacing w:before="10"/>
      </w:pPr>
    </w:p>
    <w:p>
      <w:pPr>
        <w:pStyle w:val="ListParagraph"/>
        <w:numPr>
          <w:ilvl w:val="0"/>
          <w:numId w:val="8"/>
        </w:numPr>
        <w:tabs>
          <w:tab w:pos="1556" w:val="left" w:leader="none"/>
          <w:tab w:pos="1557" w:val="left" w:leader="none"/>
        </w:tabs>
        <w:spacing w:line="240" w:lineRule="auto" w:before="0" w:after="0"/>
        <w:ind w:left="1556" w:right="0" w:hanging="401"/>
        <w:jc w:val="left"/>
        <w:rPr>
          <w:sz w:val="20"/>
        </w:rPr>
      </w:pPr>
      <w:r>
        <w:rPr>
          <w:sz w:val="20"/>
        </w:rPr>
        <w:t>wie</w:t>
      </w:r>
    </w:p>
    <w:p>
      <w:pPr>
        <w:pStyle w:val="BodyText"/>
        <w:spacing w:before="8"/>
      </w:pPr>
    </w:p>
    <w:p>
      <w:pPr>
        <w:pStyle w:val="ListParagraph"/>
        <w:numPr>
          <w:ilvl w:val="1"/>
          <w:numId w:val="8"/>
        </w:numPr>
        <w:tabs>
          <w:tab w:pos="1956" w:val="left" w:leader="none"/>
        </w:tabs>
        <w:spacing w:line="240" w:lineRule="auto" w:before="0" w:after="0"/>
        <w:ind w:left="1955" w:right="200" w:hanging="399"/>
        <w:jc w:val="both"/>
        <w:rPr>
          <w:sz w:val="20"/>
        </w:rPr>
      </w:pPr>
      <w:r>
        <w:rPr>
          <w:sz w:val="20"/>
        </w:rPr>
        <w:t>die Maßnahmen in die Informationssicherheitsmanagementsystemprozesse der Organisation integriert und dort umgesetzt werden;</w:t>
      </w:r>
      <w:r>
        <w:rPr>
          <w:spacing w:val="3"/>
          <w:sz w:val="20"/>
        </w:rPr>
        <w:t> </w:t>
      </w:r>
      <w:r>
        <w:rPr>
          <w:sz w:val="20"/>
        </w:rPr>
        <w:t>und</w:t>
      </w:r>
    </w:p>
    <w:p>
      <w:pPr>
        <w:pStyle w:val="BodyText"/>
        <w:spacing w:before="11"/>
      </w:pPr>
    </w:p>
    <w:p>
      <w:pPr>
        <w:pStyle w:val="ListParagraph"/>
        <w:numPr>
          <w:ilvl w:val="1"/>
          <w:numId w:val="8"/>
        </w:numPr>
        <w:tabs>
          <w:tab w:pos="1955" w:val="left" w:leader="none"/>
          <w:tab w:pos="1956" w:val="left" w:leader="none"/>
        </w:tabs>
        <w:spacing w:line="240" w:lineRule="auto" w:before="0" w:after="0"/>
        <w:ind w:left="1955" w:right="0" w:hanging="400"/>
        <w:jc w:val="left"/>
        <w:rPr>
          <w:sz w:val="20"/>
        </w:rPr>
      </w:pPr>
      <w:r>
        <w:rPr>
          <w:sz w:val="20"/>
        </w:rPr>
        <w:t>die Wirksamkeit dieser Maßnahmen bewertet</w:t>
      </w:r>
      <w:r>
        <w:rPr>
          <w:spacing w:val="-5"/>
          <w:sz w:val="20"/>
        </w:rPr>
        <w:t> </w:t>
      </w:r>
      <w:r>
        <w:rPr>
          <w:sz w:val="20"/>
        </w:rPr>
        <w:t>wird.</w:t>
      </w:r>
    </w:p>
    <w:p>
      <w:pPr>
        <w:pStyle w:val="BodyText"/>
        <w:spacing w:before="8"/>
      </w:pPr>
    </w:p>
    <w:p>
      <w:pPr>
        <w:pStyle w:val="Heading3"/>
        <w:numPr>
          <w:ilvl w:val="2"/>
          <w:numId w:val="2"/>
        </w:numPr>
        <w:tabs>
          <w:tab w:pos="1813" w:val="left" w:leader="none"/>
          <w:tab w:pos="1814" w:val="left" w:leader="none"/>
        </w:tabs>
        <w:spacing w:line="240" w:lineRule="auto" w:before="0" w:after="0"/>
        <w:ind w:left="1813" w:right="0" w:hanging="658"/>
        <w:jc w:val="left"/>
      </w:pPr>
      <w:bookmarkStart w:name="6.1.2 Informationssicherheitsrisikobeurt" w:id="60"/>
      <w:bookmarkEnd w:id="60"/>
      <w:r>
        <w:rPr>
          <w:b w:val="0"/>
        </w:rPr>
      </w:r>
      <w:bookmarkStart w:name="6.1.2 Informationssicherheitsrisikobeurt" w:id="61"/>
      <w:bookmarkEnd w:id="61"/>
      <w:r>
        <w:rPr/>
        <w:t>I</w:t>
      </w:r>
      <w:r>
        <w:rPr/>
        <w:t>nformationssicherheitsrisikobeurteilung</w:t>
      </w:r>
    </w:p>
    <w:p>
      <w:pPr>
        <w:pStyle w:val="BodyText"/>
        <w:spacing w:before="1"/>
        <w:rPr>
          <w:b/>
          <w:sz w:val="21"/>
        </w:rPr>
      </w:pPr>
    </w:p>
    <w:p>
      <w:pPr>
        <w:pStyle w:val="BodyText"/>
        <w:ind w:left="1156" w:right="214"/>
      </w:pPr>
      <w:r>
        <w:rPr/>
        <w:t>Die Organisation muss einen Prozess zur Informationssicherheitsrisikobeurteilung festlegen und anwenden, der:</w:t>
      </w:r>
    </w:p>
    <w:p>
      <w:pPr>
        <w:pStyle w:val="BodyText"/>
        <w:spacing w:before="8"/>
      </w:pPr>
    </w:p>
    <w:p>
      <w:pPr>
        <w:pStyle w:val="ListParagraph"/>
        <w:numPr>
          <w:ilvl w:val="0"/>
          <w:numId w:val="9"/>
        </w:numPr>
        <w:tabs>
          <w:tab w:pos="1556" w:val="left" w:leader="none"/>
          <w:tab w:pos="1557" w:val="left" w:leader="none"/>
        </w:tabs>
        <w:spacing w:line="240" w:lineRule="auto" w:before="1" w:after="0"/>
        <w:ind w:left="1556" w:right="0" w:hanging="401"/>
        <w:jc w:val="left"/>
        <w:rPr>
          <w:sz w:val="20"/>
        </w:rPr>
      </w:pPr>
      <w:r>
        <w:rPr>
          <w:sz w:val="20"/>
        </w:rPr>
        <w:t>Informationssicherheitsrisikokriterien festlegt und aufrechterhält,</w:t>
      </w:r>
      <w:r>
        <w:rPr>
          <w:spacing w:val="-4"/>
          <w:sz w:val="20"/>
        </w:rPr>
        <w:t> </w:t>
      </w:r>
      <w:r>
        <w:rPr>
          <w:sz w:val="20"/>
        </w:rPr>
        <w:t>welche:</w:t>
      </w:r>
    </w:p>
    <w:p>
      <w:pPr>
        <w:pStyle w:val="BodyText"/>
        <w:spacing w:before="10"/>
      </w:pPr>
    </w:p>
    <w:p>
      <w:pPr>
        <w:pStyle w:val="ListParagraph"/>
        <w:numPr>
          <w:ilvl w:val="1"/>
          <w:numId w:val="9"/>
        </w:numPr>
        <w:tabs>
          <w:tab w:pos="1790" w:val="left" w:leader="none"/>
        </w:tabs>
        <w:spacing w:line="240" w:lineRule="auto" w:before="0" w:after="0"/>
        <w:ind w:left="1789" w:right="0" w:hanging="234"/>
        <w:jc w:val="left"/>
        <w:rPr>
          <w:sz w:val="20"/>
        </w:rPr>
      </w:pPr>
      <w:r>
        <w:rPr>
          <w:sz w:val="20"/>
        </w:rPr>
        <w:t>die Kriterien zur Risikoakzeptanz;</w:t>
      </w:r>
      <w:r>
        <w:rPr>
          <w:spacing w:val="2"/>
          <w:sz w:val="20"/>
        </w:rPr>
        <w:t> </w:t>
      </w:r>
      <w:r>
        <w:rPr>
          <w:sz w:val="20"/>
        </w:rPr>
        <w:t>und</w:t>
      </w:r>
    </w:p>
    <w:p>
      <w:pPr>
        <w:pStyle w:val="BodyText"/>
        <w:spacing w:before="10"/>
      </w:pPr>
    </w:p>
    <w:p>
      <w:pPr>
        <w:pStyle w:val="ListParagraph"/>
        <w:numPr>
          <w:ilvl w:val="1"/>
          <w:numId w:val="9"/>
        </w:numPr>
        <w:tabs>
          <w:tab w:pos="1790" w:val="left" w:leader="none"/>
        </w:tabs>
        <w:spacing w:line="491" w:lineRule="auto" w:before="0" w:after="0"/>
        <w:ind w:left="1556" w:right="2523" w:firstLine="0"/>
        <w:jc w:val="left"/>
        <w:rPr>
          <w:sz w:val="20"/>
        </w:rPr>
      </w:pPr>
      <w:r>
        <w:rPr>
          <w:sz w:val="20"/>
        </w:rPr>
        <w:t>Kriterien für die Durchführung von Informationssicherheitsrisikobeurteilungen beinhalten;</w:t>
      </w:r>
    </w:p>
    <w:p>
      <w:pPr>
        <w:pStyle w:val="ListParagraph"/>
        <w:numPr>
          <w:ilvl w:val="0"/>
          <w:numId w:val="9"/>
        </w:numPr>
        <w:tabs>
          <w:tab w:pos="1556" w:val="left" w:leader="none"/>
          <w:tab w:pos="1557" w:val="left" w:leader="none"/>
        </w:tabs>
        <w:spacing w:line="240" w:lineRule="auto" w:before="0" w:after="0"/>
        <w:ind w:left="1556" w:right="196" w:hanging="401"/>
        <w:jc w:val="left"/>
        <w:rPr>
          <w:sz w:val="20"/>
        </w:rPr>
      </w:pPr>
      <w:r>
        <w:rPr>
          <w:sz w:val="20"/>
        </w:rPr>
        <w:t>sicherstellt, dass wiederholte Informationssicherheitsrisikobeurteilungen zu konsistenten, gültigen und vergleichbaren Ergebnissen</w:t>
      </w:r>
      <w:r>
        <w:rPr>
          <w:spacing w:val="-3"/>
          <w:sz w:val="20"/>
        </w:rPr>
        <w:t> </w:t>
      </w:r>
      <w:r>
        <w:rPr>
          <w:sz w:val="20"/>
        </w:rPr>
        <w:t>führen;</w:t>
      </w:r>
    </w:p>
    <w:p>
      <w:pPr>
        <w:pStyle w:val="BodyText"/>
        <w:spacing w:before="6"/>
      </w:pPr>
    </w:p>
    <w:p>
      <w:pPr>
        <w:pStyle w:val="ListParagraph"/>
        <w:numPr>
          <w:ilvl w:val="0"/>
          <w:numId w:val="9"/>
        </w:numPr>
        <w:tabs>
          <w:tab w:pos="1556" w:val="left" w:leader="none"/>
          <w:tab w:pos="1557" w:val="left" w:leader="none"/>
        </w:tabs>
        <w:spacing w:line="240" w:lineRule="auto" w:before="0" w:after="0"/>
        <w:ind w:left="1556" w:right="0" w:hanging="401"/>
        <w:jc w:val="left"/>
        <w:rPr>
          <w:sz w:val="20"/>
        </w:rPr>
      </w:pPr>
      <w:r>
        <w:rPr>
          <w:sz w:val="20"/>
        </w:rPr>
        <w:t>die Informationssicherheitsrisiken identifiziert:</w:t>
      </w:r>
    </w:p>
    <w:p>
      <w:pPr>
        <w:pStyle w:val="BodyText"/>
        <w:spacing w:before="11"/>
      </w:pPr>
    </w:p>
    <w:p>
      <w:pPr>
        <w:pStyle w:val="ListParagraph"/>
        <w:numPr>
          <w:ilvl w:val="1"/>
          <w:numId w:val="9"/>
        </w:numPr>
        <w:tabs>
          <w:tab w:pos="1956" w:val="left" w:leader="none"/>
        </w:tabs>
        <w:spacing w:line="240" w:lineRule="auto" w:before="0" w:after="0"/>
        <w:ind w:left="1955" w:right="198" w:hanging="399"/>
        <w:jc w:val="both"/>
        <w:rPr>
          <w:sz w:val="20"/>
        </w:rPr>
      </w:pPr>
      <w:r>
        <w:rPr>
          <w:sz w:val="20"/>
        </w:rPr>
        <w:t>den Prozess zur Informationssicherheitsrisikobeurteilung anwendet, um Risiken im Zusammenhang mit dem Verlust der Vertraulichkeit, Integrität und Verfügbarkeit von Information innerhalb des Anwendungsbereichs des ISMS zu ermitteln;</w:t>
      </w:r>
      <w:r>
        <w:rPr>
          <w:spacing w:val="-2"/>
          <w:sz w:val="20"/>
        </w:rPr>
        <w:t> </w:t>
      </w:r>
      <w:r>
        <w:rPr>
          <w:sz w:val="20"/>
        </w:rPr>
        <w:t>und</w:t>
      </w:r>
    </w:p>
    <w:p>
      <w:pPr>
        <w:pStyle w:val="BodyText"/>
        <w:spacing w:before="11"/>
      </w:pPr>
    </w:p>
    <w:p>
      <w:pPr>
        <w:pStyle w:val="ListParagraph"/>
        <w:numPr>
          <w:ilvl w:val="1"/>
          <w:numId w:val="9"/>
        </w:numPr>
        <w:tabs>
          <w:tab w:pos="2009" w:val="left" w:leader="none"/>
          <w:tab w:pos="2010" w:val="left" w:leader="none"/>
        </w:tabs>
        <w:spacing w:line="240" w:lineRule="auto" w:before="0" w:after="0"/>
        <w:ind w:left="2009" w:right="0" w:hanging="454"/>
        <w:jc w:val="left"/>
        <w:rPr>
          <w:sz w:val="20"/>
        </w:rPr>
      </w:pPr>
      <w:r>
        <w:rPr>
          <w:sz w:val="20"/>
        </w:rPr>
        <w:t>die Risikoeigentümer identifiziert;</w:t>
      </w:r>
    </w:p>
    <w:p>
      <w:pPr>
        <w:pStyle w:val="BodyText"/>
        <w:spacing w:before="10"/>
      </w:pPr>
    </w:p>
    <w:p>
      <w:pPr>
        <w:pStyle w:val="ListParagraph"/>
        <w:numPr>
          <w:ilvl w:val="0"/>
          <w:numId w:val="9"/>
        </w:numPr>
        <w:tabs>
          <w:tab w:pos="1556" w:val="left" w:leader="none"/>
          <w:tab w:pos="1557" w:val="left" w:leader="none"/>
        </w:tabs>
        <w:spacing w:line="240" w:lineRule="auto" w:before="1" w:after="0"/>
        <w:ind w:left="1556" w:right="0" w:hanging="402"/>
        <w:jc w:val="left"/>
        <w:rPr>
          <w:sz w:val="20"/>
        </w:rPr>
      </w:pPr>
      <w:r>
        <w:rPr>
          <w:sz w:val="20"/>
        </w:rPr>
        <w:t>die Informationssicherheitsrisiken</w:t>
      </w:r>
      <w:r>
        <w:rPr>
          <w:spacing w:val="-1"/>
          <w:sz w:val="20"/>
        </w:rPr>
        <w:t> </w:t>
      </w:r>
      <w:r>
        <w:rPr>
          <w:sz w:val="20"/>
        </w:rPr>
        <w:t>analysiert:</w:t>
      </w:r>
    </w:p>
    <w:p>
      <w:pPr>
        <w:pStyle w:val="BodyText"/>
        <w:spacing w:before="7"/>
      </w:pPr>
    </w:p>
    <w:p>
      <w:pPr>
        <w:pStyle w:val="ListParagraph"/>
        <w:numPr>
          <w:ilvl w:val="1"/>
          <w:numId w:val="9"/>
        </w:numPr>
        <w:tabs>
          <w:tab w:pos="1954" w:val="left" w:leader="none"/>
          <w:tab w:pos="1955" w:val="left" w:leader="none"/>
        </w:tabs>
        <w:spacing w:line="240" w:lineRule="auto" w:before="0" w:after="0"/>
        <w:ind w:left="1954" w:right="0" w:hanging="400"/>
        <w:jc w:val="left"/>
        <w:rPr>
          <w:sz w:val="20"/>
        </w:rPr>
      </w:pPr>
      <w:r>
        <w:rPr>
          <w:sz w:val="20"/>
        </w:rPr>
        <w:t>die möglichen Folgen bei Eintritt der nach 6.1.2 c) 1) identifizierten Risiken</w:t>
      </w:r>
      <w:r>
        <w:rPr>
          <w:spacing w:val="-13"/>
          <w:sz w:val="20"/>
        </w:rPr>
        <w:t> </w:t>
      </w:r>
      <w:r>
        <w:rPr>
          <w:sz w:val="20"/>
        </w:rPr>
        <w:t>abschätzt;</w:t>
      </w:r>
    </w:p>
    <w:p>
      <w:pPr>
        <w:pStyle w:val="BodyText"/>
        <w:spacing w:before="11"/>
      </w:pPr>
    </w:p>
    <w:p>
      <w:pPr>
        <w:pStyle w:val="ListParagraph"/>
        <w:numPr>
          <w:ilvl w:val="1"/>
          <w:numId w:val="9"/>
        </w:numPr>
        <w:tabs>
          <w:tab w:pos="1955" w:val="left" w:leader="none"/>
        </w:tabs>
        <w:spacing w:line="240" w:lineRule="auto" w:before="0" w:after="0"/>
        <w:ind w:left="1953" w:right="198" w:hanging="398"/>
        <w:jc w:val="both"/>
        <w:rPr>
          <w:sz w:val="20"/>
        </w:rPr>
      </w:pPr>
      <w:r>
        <w:rPr>
          <w:sz w:val="20"/>
        </w:rPr>
        <w:t>die realistischen Eintrittswahrscheinlichkeiten der nach 6.1.2 c) 1) identifizierten Risiken abschätzt; und</w:t>
      </w:r>
    </w:p>
    <w:p>
      <w:pPr>
        <w:pStyle w:val="BodyText"/>
        <w:spacing w:before="10"/>
      </w:pPr>
    </w:p>
    <w:p>
      <w:pPr>
        <w:pStyle w:val="ListParagraph"/>
        <w:numPr>
          <w:ilvl w:val="1"/>
          <w:numId w:val="9"/>
        </w:numPr>
        <w:tabs>
          <w:tab w:pos="1953" w:val="left" w:leader="none"/>
          <w:tab w:pos="1954" w:val="left" w:leader="none"/>
        </w:tabs>
        <w:spacing w:line="240" w:lineRule="auto" w:before="1" w:after="0"/>
        <w:ind w:left="1954" w:right="0" w:hanging="399"/>
        <w:jc w:val="left"/>
        <w:rPr>
          <w:sz w:val="20"/>
        </w:rPr>
      </w:pPr>
      <w:r>
        <w:rPr>
          <w:sz w:val="20"/>
        </w:rPr>
        <w:t>die Risikoniveaus bestimmt;</w:t>
      </w:r>
    </w:p>
    <w:p>
      <w:pPr>
        <w:pStyle w:val="BodyText"/>
        <w:spacing w:before="10"/>
      </w:pPr>
    </w:p>
    <w:p>
      <w:pPr>
        <w:pStyle w:val="ListParagraph"/>
        <w:numPr>
          <w:ilvl w:val="0"/>
          <w:numId w:val="9"/>
        </w:numPr>
        <w:tabs>
          <w:tab w:pos="1555" w:val="left" w:leader="none"/>
          <w:tab w:pos="1556" w:val="left" w:leader="none"/>
        </w:tabs>
        <w:spacing w:line="240" w:lineRule="auto" w:before="0" w:after="0"/>
        <w:ind w:left="1555" w:right="0" w:hanging="402"/>
        <w:jc w:val="left"/>
        <w:rPr>
          <w:sz w:val="20"/>
        </w:rPr>
      </w:pPr>
      <w:r>
        <w:rPr>
          <w:sz w:val="20"/>
        </w:rPr>
        <w:t>die Informationssicherheitsrisiken bewertet:</w:t>
      </w:r>
    </w:p>
    <w:p>
      <w:pPr>
        <w:pStyle w:val="BodyText"/>
        <w:spacing w:before="10"/>
      </w:pPr>
    </w:p>
    <w:p>
      <w:pPr>
        <w:pStyle w:val="ListParagraph"/>
        <w:numPr>
          <w:ilvl w:val="1"/>
          <w:numId w:val="9"/>
        </w:numPr>
        <w:tabs>
          <w:tab w:pos="1953" w:val="left" w:leader="none"/>
          <w:tab w:pos="1954" w:val="left" w:leader="none"/>
        </w:tabs>
        <w:spacing w:line="240" w:lineRule="auto" w:before="0" w:after="0"/>
        <w:ind w:left="1953" w:right="0" w:hanging="399"/>
        <w:jc w:val="left"/>
        <w:rPr>
          <w:sz w:val="20"/>
        </w:rPr>
      </w:pPr>
      <w:r>
        <w:rPr>
          <w:sz w:val="20"/>
        </w:rPr>
        <w:t>die Ergebnisse der Risikoanalyse mit den nach 6.1.2 a) festgelegten Risikokriterien vergleicht;</w:t>
      </w:r>
      <w:r>
        <w:rPr>
          <w:spacing w:val="-31"/>
          <w:sz w:val="20"/>
        </w:rPr>
        <w:t> </w:t>
      </w:r>
      <w:r>
        <w:rPr>
          <w:sz w:val="20"/>
        </w:rPr>
        <w:t>und</w:t>
      </w:r>
    </w:p>
    <w:p>
      <w:pPr>
        <w:pStyle w:val="BodyText"/>
        <w:spacing w:before="8"/>
      </w:pPr>
    </w:p>
    <w:p>
      <w:pPr>
        <w:pStyle w:val="ListParagraph"/>
        <w:numPr>
          <w:ilvl w:val="1"/>
          <w:numId w:val="9"/>
        </w:numPr>
        <w:tabs>
          <w:tab w:pos="1953" w:val="left" w:leader="none"/>
          <w:tab w:pos="1954" w:val="left" w:leader="none"/>
        </w:tabs>
        <w:spacing w:line="240" w:lineRule="auto" w:before="0" w:after="0"/>
        <w:ind w:left="1953" w:right="0" w:hanging="399"/>
        <w:jc w:val="left"/>
        <w:rPr>
          <w:sz w:val="20"/>
        </w:rPr>
      </w:pPr>
      <w:r>
        <w:rPr>
          <w:sz w:val="20"/>
        </w:rPr>
        <w:t>die analysierten Risiken für die Risikobehandlung</w:t>
      </w:r>
      <w:r>
        <w:rPr>
          <w:spacing w:val="-2"/>
          <w:sz w:val="20"/>
        </w:rPr>
        <w:t> </w:t>
      </w:r>
      <w:r>
        <w:rPr>
          <w:sz w:val="20"/>
        </w:rPr>
        <w:t>priorisiert.</w:t>
      </w:r>
    </w:p>
    <w:p>
      <w:pPr>
        <w:pStyle w:val="BodyText"/>
        <w:spacing w:before="10"/>
      </w:pPr>
    </w:p>
    <w:p>
      <w:pPr>
        <w:pStyle w:val="BodyText"/>
        <w:spacing w:before="1"/>
        <w:ind w:left="1154"/>
      </w:pPr>
      <w:r>
        <w:rPr/>
        <w:t>Die Organisation muss dokumentierte Information über den Informationssicherheitsrisikobeurteilungsprozess aufbewahren.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23"/>
        </w:rPr>
      </w:pPr>
    </w:p>
    <w:p>
      <w:pPr>
        <w:spacing w:before="94"/>
        <w:ind w:left="0" w:right="196" w:firstLine="0"/>
        <w:jc w:val="right"/>
        <w:rPr>
          <w:b/>
          <w:sz w:val="22"/>
        </w:rPr>
      </w:pPr>
      <w:r>
        <w:rPr/>
        <w:pict>
          <v:shape style="position:absolute;margin-left:9.663086pt;margin-top:-57.076385pt;width:9.85pt;height:83.7pt;mso-position-horizontal-relative:page;mso-position-vertical-relative:paragraph;z-index:-254710784"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b/>
          <w:w w:val="100"/>
          <w:sz w:val="22"/>
        </w:rPr>
        <w:t>9</w:t>
      </w:r>
    </w:p>
    <w:p>
      <w:pPr>
        <w:spacing w:after="0"/>
        <w:jc w:val="right"/>
        <w:rPr>
          <w:sz w:val="22"/>
        </w:rPr>
        <w:sectPr>
          <w:headerReference w:type="default" r:id="rId22"/>
          <w:headerReference w:type="even" r:id="rId23"/>
          <w:footerReference w:type="default" r:id="rId24"/>
          <w:pgSz w:w="11910" w:h="16840"/>
          <w:pgMar w:header="710" w:footer="0" w:top="1540" w:bottom="280" w:left="260" w:right="540"/>
        </w:sectPr>
      </w:pPr>
    </w:p>
    <w:p>
      <w:pPr>
        <w:pStyle w:val="Heading3"/>
        <w:numPr>
          <w:ilvl w:val="2"/>
          <w:numId w:val="2"/>
        </w:numPr>
        <w:tabs>
          <w:tab w:pos="1134" w:val="left" w:leader="none"/>
          <w:tab w:pos="1135" w:val="left" w:leader="none"/>
        </w:tabs>
        <w:spacing w:line="240" w:lineRule="auto" w:before="95" w:after="0"/>
        <w:ind w:left="1134" w:right="0" w:hanging="659"/>
        <w:jc w:val="left"/>
      </w:pPr>
      <w:bookmarkStart w:name="6.1.3 Informationssicherheitsrisikobehan" w:id="62"/>
      <w:bookmarkEnd w:id="62"/>
      <w:r>
        <w:rPr>
          <w:b w:val="0"/>
        </w:rPr>
      </w:r>
      <w:bookmarkStart w:name="6.1.3 Informationssicherheitsrisikobehan" w:id="63"/>
      <w:bookmarkEnd w:id="63"/>
      <w:r>
        <w:rPr/>
        <w:t>I</w:t>
      </w:r>
      <w:r>
        <w:rPr/>
        <w:t>nformationssicherheitsrisikobehandlung</w:t>
      </w:r>
    </w:p>
    <w:p>
      <w:pPr>
        <w:pStyle w:val="BodyText"/>
        <w:spacing w:before="1"/>
        <w:rPr>
          <w:b/>
          <w:sz w:val="21"/>
        </w:rPr>
      </w:pPr>
    </w:p>
    <w:p>
      <w:pPr>
        <w:pStyle w:val="BodyText"/>
        <w:ind w:left="476" w:right="917"/>
      </w:pPr>
      <w:r>
        <w:rPr/>
        <w:t>Die Organisation muss einen Prozess für die Informationssicherheitsrisikobehandlung festlegen und anwenden, um:</w:t>
      </w:r>
    </w:p>
    <w:p>
      <w:pPr>
        <w:pStyle w:val="BodyText"/>
        <w:spacing w:before="9"/>
      </w:pPr>
    </w:p>
    <w:p>
      <w:pPr>
        <w:pStyle w:val="ListParagraph"/>
        <w:numPr>
          <w:ilvl w:val="0"/>
          <w:numId w:val="10"/>
        </w:numPr>
        <w:tabs>
          <w:tab w:pos="878" w:val="left" w:leader="none"/>
        </w:tabs>
        <w:spacing w:line="240" w:lineRule="auto" w:before="0" w:after="0"/>
        <w:ind w:left="877" w:right="878" w:hanging="401"/>
        <w:jc w:val="both"/>
        <w:rPr>
          <w:sz w:val="20"/>
        </w:rPr>
      </w:pPr>
      <w:r>
        <w:rPr>
          <w:sz w:val="20"/>
        </w:rPr>
        <w:t>angemessene Optionen für die Informationssicherheitsrisikobehandlung unter Berücksichtigung der Ergebnisse der Risikobeurteilung</w:t>
      </w:r>
      <w:r>
        <w:rPr>
          <w:spacing w:val="-1"/>
          <w:sz w:val="20"/>
        </w:rPr>
        <w:t> </w:t>
      </w:r>
      <w:r>
        <w:rPr>
          <w:sz w:val="20"/>
        </w:rPr>
        <w:t>auszuwählen;</w:t>
      </w:r>
    </w:p>
    <w:p>
      <w:pPr>
        <w:pStyle w:val="BodyText"/>
        <w:spacing w:before="10"/>
      </w:pPr>
    </w:p>
    <w:p>
      <w:pPr>
        <w:pStyle w:val="ListParagraph"/>
        <w:numPr>
          <w:ilvl w:val="0"/>
          <w:numId w:val="10"/>
        </w:numPr>
        <w:tabs>
          <w:tab w:pos="878" w:val="left" w:leader="none"/>
        </w:tabs>
        <w:spacing w:line="240" w:lineRule="auto" w:before="1" w:after="0"/>
        <w:ind w:left="877" w:right="877" w:hanging="401"/>
        <w:jc w:val="both"/>
        <w:rPr>
          <w:sz w:val="20"/>
        </w:rPr>
      </w:pPr>
      <w:r>
        <w:rPr>
          <w:sz w:val="20"/>
        </w:rPr>
        <w:t>alle Maßnahmen, die zur Umsetzung der gewählte(n) Option(en) für die Informationssicherheits- risikobehandlung erforderlich sind, festzulegen;</w:t>
      </w:r>
    </w:p>
    <w:p>
      <w:pPr>
        <w:pStyle w:val="BodyText"/>
        <w:spacing w:before="3"/>
        <w:rPr>
          <w:sz w:val="21"/>
        </w:rPr>
      </w:pPr>
    </w:p>
    <w:p>
      <w:pPr>
        <w:spacing w:before="0"/>
        <w:ind w:left="877" w:right="874" w:hanging="1"/>
        <w:jc w:val="both"/>
        <w:rPr>
          <w:sz w:val="18"/>
        </w:rPr>
      </w:pPr>
      <w:r>
        <w:rPr>
          <w:sz w:val="18"/>
        </w:rPr>
        <w:t>ANMERKUNG Organisationen können Maßnahmen nach Bedarf gestalten oder aus einer beliebigen Quelle auswählen.</w:t>
      </w:r>
    </w:p>
    <w:p>
      <w:pPr>
        <w:pStyle w:val="BodyText"/>
        <w:rPr>
          <w:sz w:val="21"/>
        </w:rPr>
      </w:pPr>
    </w:p>
    <w:p>
      <w:pPr>
        <w:pStyle w:val="ListParagraph"/>
        <w:numPr>
          <w:ilvl w:val="0"/>
          <w:numId w:val="10"/>
        </w:numPr>
        <w:tabs>
          <w:tab w:pos="878" w:val="left" w:leader="none"/>
        </w:tabs>
        <w:spacing w:line="240" w:lineRule="auto" w:before="1" w:after="0"/>
        <w:ind w:left="877" w:right="877" w:hanging="401"/>
        <w:jc w:val="both"/>
        <w:rPr>
          <w:sz w:val="20"/>
        </w:rPr>
      </w:pPr>
      <w:r>
        <w:rPr>
          <w:sz w:val="20"/>
        </w:rPr>
        <w:t>die nach 6.1.3 b) festgelegten Maßnahmen mit den Maßnahmen in Anhang A zu vergleichen und zu überprüfen, dass keine erforderlichen Maßnahmen ausgelassen</w:t>
      </w:r>
      <w:r>
        <w:rPr>
          <w:spacing w:val="-2"/>
          <w:sz w:val="20"/>
        </w:rPr>
        <w:t> </w:t>
      </w:r>
      <w:r>
        <w:rPr>
          <w:sz w:val="20"/>
        </w:rPr>
        <w:t>wurden;</w:t>
      </w:r>
    </w:p>
    <w:p>
      <w:pPr>
        <w:pStyle w:val="BodyText"/>
        <w:spacing w:before="1"/>
        <w:rPr>
          <w:sz w:val="21"/>
        </w:rPr>
      </w:pPr>
    </w:p>
    <w:p>
      <w:pPr>
        <w:spacing w:line="242" w:lineRule="auto" w:before="0"/>
        <w:ind w:left="877" w:right="874" w:firstLine="0"/>
        <w:jc w:val="both"/>
        <w:rPr>
          <w:sz w:val="18"/>
        </w:rPr>
      </w:pPr>
      <w:r>
        <w:rPr>
          <w:sz w:val="18"/>
        </w:rPr>
        <w:t>ANMERKUNG 1 Anhang A enthält eine umfassende Liste von Maßnahmenzielen und Maßnahmen. Anwender  dieser Internationalen Norm werden auf Anhang A verwiesen, um sicherzustellen, dass keine wichtigen Maßnahmen übersehen wurden.</w:t>
      </w:r>
    </w:p>
    <w:p>
      <w:pPr>
        <w:pStyle w:val="BodyText"/>
        <w:spacing w:before="2"/>
        <w:rPr>
          <w:sz w:val="21"/>
        </w:rPr>
      </w:pPr>
    </w:p>
    <w:p>
      <w:pPr>
        <w:spacing w:line="242" w:lineRule="auto" w:before="1"/>
        <w:ind w:left="877" w:right="873" w:firstLine="0"/>
        <w:jc w:val="both"/>
        <w:rPr>
          <w:sz w:val="18"/>
        </w:rPr>
      </w:pPr>
      <w:r>
        <w:rPr>
          <w:sz w:val="18"/>
        </w:rPr>
        <w:t>ANMERKUNG 2 In den ausgewählten Maßnahmen sind implizit Maßnahmenziele enthalten. Die Liste der Maßnahmenziele und Maßnahmen in Anhang A ist nicht erschöpfend und weitere Maßnahmenziele und Maßnahmen könnten erforderlich sein.</w:t>
      </w:r>
    </w:p>
    <w:p>
      <w:pPr>
        <w:pStyle w:val="BodyText"/>
        <w:spacing w:before="7"/>
      </w:pPr>
    </w:p>
    <w:p>
      <w:pPr>
        <w:pStyle w:val="ListParagraph"/>
        <w:numPr>
          <w:ilvl w:val="0"/>
          <w:numId w:val="10"/>
        </w:numPr>
        <w:tabs>
          <w:tab w:pos="878" w:val="left" w:leader="none"/>
        </w:tabs>
        <w:spacing w:line="240" w:lineRule="auto" w:before="0" w:after="0"/>
        <w:ind w:left="877" w:right="875" w:hanging="401"/>
        <w:jc w:val="both"/>
        <w:rPr>
          <w:sz w:val="20"/>
        </w:rPr>
      </w:pPr>
      <w:r>
        <w:rPr>
          <w:sz w:val="20"/>
        </w:rPr>
        <w:t>eine Erklärung zur Anwendbarkeit zu erstellen, welche die erforderlichen Maßnahmen (siehe 6.1.3 b) und c)) und Gründe für deren Einbeziehung, unabhängig davon, ob sie nun umgesetzt sind oder nicht, sowie Gründe für die Nichteinbeziehung von Maßnahmen aus Anhang A</w:t>
      </w:r>
      <w:r>
        <w:rPr>
          <w:spacing w:val="-5"/>
          <w:sz w:val="20"/>
        </w:rPr>
        <w:t> </w:t>
      </w:r>
      <w:r>
        <w:rPr>
          <w:sz w:val="20"/>
        </w:rPr>
        <w:t>enthält;</w:t>
      </w:r>
    </w:p>
    <w:p>
      <w:pPr>
        <w:pStyle w:val="BodyText"/>
        <w:spacing w:before="11"/>
      </w:pPr>
    </w:p>
    <w:p>
      <w:pPr>
        <w:pStyle w:val="ListParagraph"/>
        <w:numPr>
          <w:ilvl w:val="0"/>
          <w:numId w:val="10"/>
        </w:numPr>
        <w:tabs>
          <w:tab w:pos="877" w:val="left" w:leader="none"/>
          <w:tab w:pos="878" w:val="left" w:leader="none"/>
        </w:tabs>
        <w:spacing w:line="240" w:lineRule="auto" w:before="0" w:after="0"/>
        <w:ind w:left="877" w:right="0" w:hanging="402"/>
        <w:jc w:val="left"/>
        <w:rPr>
          <w:sz w:val="20"/>
        </w:rPr>
      </w:pPr>
      <w:r>
        <w:rPr>
          <w:sz w:val="20"/>
        </w:rPr>
        <w:t>einen Plan für die Informationssicherheitsrisikobehandlung zu formulieren;</w:t>
      </w:r>
      <w:r>
        <w:rPr>
          <w:spacing w:val="-4"/>
          <w:sz w:val="20"/>
        </w:rPr>
        <w:t> </w:t>
      </w:r>
      <w:r>
        <w:rPr>
          <w:sz w:val="20"/>
        </w:rPr>
        <w:t>und</w:t>
      </w:r>
    </w:p>
    <w:p>
      <w:pPr>
        <w:pStyle w:val="BodyText"/>
        <w:spacing w:before="10"/>
      </w:pPr>
    </w:p>
    <w:p>
      <w:pPr>
        <w:pStyle w:val="ListParagraph"/>
        <w:numPr>
          <w:ilvl w:val="0"/>
          <w:numId w:val="10"/>
        </w:numPr>
        <w:tabs>
          <w:tab w:pos="878" w:val="left" w:leader="none"/>
        </w:tabs>
        <w:spacing w:line="240" w:lineRule="auto" w:before="1" w:after="0"/>
        <w:ind w:left="877" w:right="882" w:hanging="401"/>
        <w:jc w:val="both"/>
        <w:rPr>
          <w:sz w:val="20"/>
        </w:rPr>
      </w:pPr>
      <w:r>
        <w:rPr>
          <w:sz w:val="20"/>
        </w:rPr>
        <w:t>bei den Risikoeigentümern eine Genehmigung des Plans für die Informationssicherheitsrisikobehandlung sowie ihre Akzeptanz der Informationssicherheitsrestrisiken</w:t>
      </w:r>
      <w:r>
        <w:rPr>
          <w:spacing w:val="-5"/>
          <w:sz w:val="20"/>
        </w:rPr>
        <w:t> </w:t>
      </w:r>
      <w:r>
        <w:rPr>
          <w:sz w:val="20"/>
        </w:rPr>
        <w:t>einzuholen.</w:t>
      </w:r>
    </w:p>
    <w:p>
      <w:pPr>
        <w:pStyle w:val="BodyText"/>
        <w:spacing w:before="8"/>
      </w:pPr>
    </w:p>
    <w:p>
      <w:pPr>
        <w:pStyle w:val="BodyText"/>
        <w:ind w:left="476"/>
      </w:pPr>
      <w:r>
        <w:rPr/>
        <w:t>Die Organisation muss dokumentierte Information über den Informationssicherheitsrisikobehandlungsprozess aufbewahren.</w:t>
      </w:r>
    </w:p>
    <w:p>
      <w:pPr>
        <w:pStyle w:val="BodyText"/>
        <w:spacing w:before="4"/>
        <w:rPr>
          <w:sz w:val="21"/>
        </w:rPr>
      </w:pPr>
    </w:p>
    <w:p>
      <w:pPr>
        <w:tabs>
          <w:tab w:pos="1916" w:val="left" w:leader="none"/>
        </w:tabs>
        <w:spacing w:line="244" w:lineRule="auto" w:before="0"/>
        <w:ind w:left="476" w:right="917" w:firstLine="0"/>
        <w:jc w:val="left"/>
        <w:rPr>
          <w:sz w:val="18"/>
        </w:rPr>
      </w:pPr>
      <w:r>
        <w:rPr>
          <w:sz w:val="18"/>
        </w:rPr>
        <w:t>ANMERKUNG</w:t>
        <w:tab/>
        <w:t>Der in dieser Internationalen Norm genannte Prozess für die Informationssicherheitsrisikobeurteilung und -behandlung steht im Einklang mit den Grundsätzen und allgemeinen Leitlinien in ISO 31000</w:t>
      </w:r>
      <w:r>
        <w:rPr>
          <w:spacing w:val="-23"/>
          <w:sz w:val="18"/>
        </w:rPr>
        <w:t> </w:t>
      </w:r>
      <w:r>
        <w:rPr>
          <w:sz w:val="18"/>
        </w:rPr>
        <w:t>[5].</w:t>
      </w:r>
    </w:p>
    <w:p>
      <w:pPr>
        <w:pStyle w:val="BodyText"/>
        <w:spacing w:before="1"/>
      </w:pPr>
    </w:p>
    <w:p>
      <w:pPr>
        <w:pStyle w:val="ListParagraph"/>
        <w:numPr>
          <w:ilvl w:val="1"/>
          <w:numId w:val="2"/>
        </w:numPr>
        <w:tabs>
          <w:tab w:pos="976" w:val="left" w:leader="none"/>
        </w:tabs>
        <w:spacing w:line="240" w:lineRule="auto" w:before="0" w:after="0"/>
        <w:ind w:left="975" w:right="0" w:hanging="500"/>
        <w:jc w:val="left"/>
        <w:rPr>
          <w:b/>
          <w:sz w:val="22"/>
        </w:rPr>
      </w:pPr>
      <w:bookmarkStart w:name="6.2 Informationssicherheitsziele und Pla" w:id="64"/>
      <w:bookmarkEnd w:id="64"/>
      <w:r>
        <w:rPr/>
      </w:r>
      <w:bookmarkStart w:name="_bookmark19" w:id="65"/>
      <w:bookmarkEnd w:id="65"/>
      <w:r>
        <w:rPr/>
      </w:r>
      <w:bookmarkStart w:name="_bookmark19" w:id="66"/>
      <w:bookmarkEnd w:id="66"/>
      <w:r>
        <w:rPr>
          <w:b/>
          <w:sz w:val="22"/>
        </w:rPr>
        <w:t>I</w:t>
      </w:r>
      <w:r>
        <w:rPr>
          <w:b/>
          <w:sz w:val="22"/>
        </w:rPr>
        <w:t>nformationssicherheitsziele und Planung zu deren</w:t>
      </w:r>
      <w:r>
        <w:rPr>
          <w:b/>
          <w:spacing w:val="-7"/>
          <w:sz w:val="22"/>
        </w:rPr>
        <w:t> </w:t>
      </w:r>
      <w:r>
        <w:rPr>
          <w:b/>
          <w:sz w:val="22"/>
        </w:rPr>
        <w:t>Erreichung</w:t>
      </w:r>
    </w:p>
    <w:p>
      <w:pPr>
        <w:pStyle w:val="BodyText"/>
        <w:spacing w:before="9"/>
        <w:rPr>
          <w:b/>
        </w:rPr>
      </w:pPr>
    </w:p>
    <w:p>
      <w:pPr>
        <w:pStyle w:val="BodyText"/>
        <w:spacing w:line="491" w:lineRule="auto"/>
        <w:ind w:left="476" w:right="1797"/>
      </w:pPr>
      <w:r>
        <w:rPr/>
        <w:t>Die Organisation muss Informationssicherheitsziele für relevante Funktionen und Ebenen festlegen. Die Informationssicherheitsziele müssen:</w:t>
      </w:r>
    </w:p>
    <w:p>
      <w:pPr>
        <w:pStyle w:val="ListParagraph"/>
        <w:numPr>
          <w:ilvl w:val="0"/>
          <w:numId w:val="11"/>
        </w:numPr>
        <w:tabs>
          <w:tab w:pos="877" w:val="left" w:leader="none"/>
          <w:tab w:pos="878" w:val="left" w:leader="none"/>
        </w:tabs>
        <w:spacing w:line="228" w:lineRule="exact" w:before="0" w:after="0"/>
        <w:ind w:left="877" w:right="0" w:hanging="402"/>
        <w:jc w:val="left"/>
        <w:rPr>
          <w:sz w:val="20"/>
        </w:rPr>
      </w:pPr>
      <w:r>
        <w:rPr>
          <w:sz w:val="20"/>
        </w:rPr>
        <w:t>im Einklang mit der Informationssicherheitspolitik</w:t>
      </w:r>
      <w:r>
        <w:rPr>
          <w:spacing w:val="3"/>
          <w:sz w:val="20"/>
        </w:rPr>
        <w:t> </w:t>
      </w:r>
      <w:r>
        <w:rPr>
          <w:sz w:val="20"/>
        </w:rPr>
        <w:t>stehen;</w:t>
      </w:r>
    </w:p>
    <w:p>
      <w:pPr>
        <w:pStyle w:val="BodyText"/>
        <w:spacing w:before="10"/>
      </w:pPr>
    </w:p>
    <w:p>
      <w:pPr>
        <w:pStyle w:val="ListParagraph"/>
        <w:numPr>
          <w:ilvl w:val="0"/>
          <w:numId w:val="11"/>
        </w:numPr>
        <w:tabs>
          <w:tab w:pos="877" w:val="left" w:leader="none"/>
          <w:tab w:pos="878" w:val="left" w:leader="none"/>
        </w:tabs>
        <w:spacing w:line="240" w:lineRule="auto" w:before="0" w:after="0"/>
        <w:ind w:left="877" w:right="0" w:hanging="402"/>
        <w:jc w:val="left"/>
        <w:rPr>
          <w:sz w:val="20"/>
        </w:rPr>
      </w:pPr>
      <w:r>
        <w:rPr>
          <w:sz w:val="20"/>
        </w:rPr>
        <w:t>messbar sein (sofern</w:t>
      </w:r>
      <w:r>
        <w:rPr>
          <w:spacing w:val="-3"/>
          <w:sz w:val="20"/>
        </w:rPr>
        <w:t> </w:t>
      </w:r>
      <w:r>
        <w:rPr>
          <w:sz w:val="20"/>
        </w:rPr>
        <w:t>machbar);</w:t>
      </w:r>
    </w:p>
    <w:p>
      <w:pPr>
        <w:pStyle w:val="BodyText"/>
        <w:spacing w:before="10"/>
      </w:pPr>
    </w:p>
    <w:p>
      <w:pPr>
        <w:pStyle w:val="ListParagraph"/>
        <w:numPr>
          <w:ilvl w:val="0"/>
          <w:numId w:val="11"/>
        </w:numPr>
        <w:tabs>
          <w:tab w:pos="878" w:val="left" w:leader="none"/>
        </w:tabs>
        <w:spacing w:line="240" w:lineRule="auto" w:before="0" w:after="0"/>
        <w:ind w:left="877" w:right="876" w:hanging="401"/>
        <w:jc w:val="both"/>
        <w:rPr>
          <w:sz w:val="20"/>
        </w:rPr>
      </w:pPr>
      <w:r>
        <w:rPr>
          <w:sz w:val="20"/>
        </w:rPr>
        <w:t>anwendbare Informationssicherheitsanforderungen sowie die Ergebnisse, der Risikobeurteilung und Risikobehandlung</w:t>
      </w:r>
      <w:r>
        <w:rPr>
          <w:spacing w:val="-2"/>
          <w:sz w:val="20"/>
        </w:rPr>
        <w:t> </w:t>
      </w:r>
      <w:r>
        <w:rPr>
          <w:sz w:val="20"/>
        </w:rPr>
        <w:t>berücksichtigen;</w:t>
      </w:r>
    </w:p>
    <w:p>
      <w:pPr>
        <w:pStyle w:val="BodyText"/>
        <w:spacing w:before="9"/>
      </w:pPr>
    </w:p>
    <w:p>
      <w:pPr>
        <w:pStyle w:val="ListParagraph"/>
        <w:numPr>
          <w:ilvl w:val="0"/>
          <w:numId w:val="11"/>
        </w:numPr>
        <w:tabs>
          <w:tab w:pos="877" w:val="left" w:leader="none"/>
          <w:tab w:pos="878" w:val="left" w:leader="none"/>
        </w:tabs>
        <w:spacing w:line="240" w:lineRule="auto" w:before="0" w:after="0"/>
        <w:ind w:left="877" w:right="0" w:hanging="402"/>
        <w:jc w:val="left"/>
        <w:rPr>
          <w:sz w:val="20"/>
        </w:rPr>
      </w:pPr>
      <w:r>
        <w:rPr>
          <w:sz w:val="20"/>
        </w:rPr>
        <w:t>vermittelt werden;</w:t>
      </w:r>
      <w:r>
        <w:rPr>
          <w:spacing w:val="-1"/>
          <w:sz w:val="20"/>
        </w:rPr>
        <w:t> </w:t>
      </w:r>
      <w:r>
        <w:rPr>
          <w:sz w:val="20"/>
        </w:rPr>
        <w:t>und</w:t>
      </w:r>
    </w:p>
    <w:p>
      <w:pPr>
        <w:pStyle w:val="BodyText"/>
        <w:spacing w:before="10"/>
      </w:pPr>
    </w:p>
    <w:p>
      <w:pPr>
        <w:pStyle w:val="ListParagraph"/>
        <w:numPr>
          <w:ilvl w:val="0"/>
          <w:numId w:val="11"/>
        </w:numPr>
        <w:tabs>
          <w:tab w:pos="877" w:val="left" w:leader="none"/>
          <w:tab w:pos="878" w:val="left" w:leader="none"/>
        </w:tabs>
        <w:spacing w:line="240" w:lineRule="auto" w:before="0" w:after="0"/>
        <w:ind w:left="877" w:right="0" w:hanging="402"/>
        <w:jc w:val="left"/>
        <w:rPr>
          <w:sz w:val="20"/>
        </w:rPr>
      </w:pPr>
      <w:r>
        <w:rPr>
          <w:sz w:val="20"/>
        </w:rPr>
        <w:t>soweit erforderlich, aktualisiert</w:t>
      </w:r>
      <w:r>
        <w:rPr>
          <w:spacing w:val="3"/>
          <w:sz w:val="20"/>
        </w:rPr>
        <w:t> </w:t>
      </w:r>
      <w:r>
        <w:rPr>
          <w:sz w:val="20"/>
        </w:rPr>
        <w:t>werden.</w:t>
      </w:r>
    </w:p>
    <w:p>
      <w:pPr>
        <w:pStyle w:val="BodyText"/>
        <w:spacing w:before="10"/>
      </w:pPr>
    </w:p>
    <w:p>
      <w:pPr>
        <w:pStyle w:val="BodyText"/>
        <w:spacing w:before="1"/>
        <w:ind w:left="476"/>
      </w:pPr>
      <w:r>
        <w:rPr/>
        <w:pict>
          <v:shape style="position:absolute;margin-left:9.663086pt;margin-top:.247308pt;width:9.85pt;height:83.7pt;mso-position-horizontal-relative:page;mso-position-vertical-relative:paragraph;z-index:-254709760"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t>Die Organisation muss dokumentierte Information zu den Informationssicherheitszielen aufbewahren.</w:t>
      </w:r>
    </w:p>
    <w:p>
      <w:pPr>
        <w:pStyle w:val="BodyText"/>
      </w:pPr>
    </w:p>
    <w:p>
      <w:pPr>
        <w:pStyle w:val="BodyText"/>
      </w:pPr>
    </w:p>
    <w:p>
      <w:pPr>
        <w:pStyle w:val="BodyText"/>
      </w:pPr>
    </w:p>
    <w:p>
      <w:pPr>
        <w:pStyle w:val="BodyText"/>
        <w:spacing w:before="7"/>
        <w:rPr>
          <w:sz w:val="19"/>
        </w:rPr>
      </w:pPr>
    </w:p>
    <w:p>
      <w:pPr>
        <w:spacing w:before="94"/>
        <w:ind w:left="476" w:right="0" w:firstLine="0"/>
        <w:jc w:val="left"/>
        <w:rPr>
          <w:b/>
          <w:sz w:val="22"/>
        </w:rPr>
      </w:pPr>
      <w:r>
        <w:rPr>
          <w:b/>
          <w:sz w:val="22"/>
        </w:rPr>
        <w:t>10</w:t>
      </w:r>
    </w:p>
    <w:p>
      <w:pPr>
        <w:spacing w:after="0"/>
        <w:jc w:val="left"/>
        <w:rPr>
          <w:sz w:val="22"/>
        </w:rPr>
        <w:sectPr>
          <w:headerReference w:type="even" r:id="rId25"/>
          <w:headerReference w:type="default" r:id="rId26"/>
          <w:footerReference w:type="even" r:id="rId27"/>
          <w:pgSz w:w="11910" w:h="16840"/>
          <w:pgMar w:header="710" w:footer="0" w:top="1540" w:bottom="280" w:left="260" w:right="540"/>
        </w:sectPr>
      </w:pPr>
    </w:p>
    <w:p>
      <w:pPr>
        <w:pStyle w:val="BodyText"/>
        <w:spacing w:before="97"/>
        <w:ind w:left="1156"/>
        <w:jc w:val="both"/>
      </w:pPr>
      <w:r>
        <w:rPr/>
        <w:t>Bei der Planung, zum Erreichen der Informationssicherheitsziele, muss die Organisation bestimmen:</w:t>
      </w:r>
    </w:p>
    <w:p>
      <w:pPr>
        <w:pStyle w:val="BodyText"/>
        <w:spacing w:before="11"/>
      </w:pPr>
    </w:p>
    <w:p>
      <w:pPr>
        <w:pStyle w:val="ListParagraph"/>
        <w:numPr>
          <w:ilvl w:val="0"/>
          <w:numId w:val="11"/>
        </w:numPr>
        <w:tabs>
          <w:tab w:pos="1556" w:val="left" w:leader="none"/>
          <w:tab w:pos="1557" w:val="left" w:leader="none"/>
        </w:tabs>
        <w:spacing w:line="240" w:lineRule="auto" w:before="0" w:after="0"/>
        <w:ind w:left="1556" w:right="0" w:hanging="401"/>
        <w:jc w:val="left"/>
        <w:rPr>
          <w:sz w:val="20"/>
        </w:rPr>
      </w:pPr>
      <w:r>
        <w:rPr>
          <w:sz w:val="20"/>
        </w:rPr>
        <w:t>was getan wird;</w:t>
      </w:r>
    </w:p>
    <w:p>
      <w:pPr>
        <w:pStyle w:val="BodyText"/>
        <w:spacing w:before="10"/>
      </w:pPr>
    </w:p>
    <w:p>
      <w:pPr>
        <w:pStyle w:val="ListParagraph"/>
        <w:numPr>
          <w:ilvl w:val="0"/>
          <w:numId w:val="11"/>
        </w:numPr>
        <w:tabs>
          <w:tab w:pos="1556" w:val="left" w:leader="none"/>
          <w:tab w:pos="1557" w:val="left" w:leader="none"/>
        </w:tabs>
        <w:spacing w:line="240" w:lineRule="auto" w:before="0" w:after="0"/>
        <w:ind w:left="1556" w:right="0" w:hanging="401"/>
        <w:jc w:val="left"/>
        <w:rPr>
          <w:sz w:val="20"/>
        </w:rPr>
      </w:pPr>
      <w:r>
        <w:rPr>
          <w:sz w:val="20"/>
        </w:rPr>
        <w:t>welche Ressourcen erforderlich</w:t>
      </w:r>
      <w:r>
        <w:rPr>
          <w:spacing w:val="1"/>
          <w:sz w:val="20"/>
        </w:rPr>
        <w:t> </w:t>
      </w:r>
      <w:r>
        <w:rPr>
          <w:sz w:val="20"/>
        </w:rPr>
        <w:t>sind;</w:t>
      </w:r>
    </w:p>
    <w:p>
      <w:pPr>
        <w:pStyle w:val="BodyText"/>
        <w:spacing w:before="8"/>
      </w:pPr>
    </w:p>
    <w:p>
      <w:pPr>
        <w:pStyle w:val="ListParagraph"/>
        <w:numPr>
          <w:ilvl w:val="0"/>
          <w:numId w:val="11"/>
        </w:numPr>
        <w:tabs>
          <w:tab w:pos="1556" w:val="left" w:leader="none"/>
          <w:tab w:pos="1557" w:val="left" w:leader="none"/>
        </w:tabs>
        <w:spacing w:line="240" w:lineRule="auto" w:before="0" w:after="0"/>
        <w:ind w:left="1556" w:right="0" w:hanging="401"/>
        <w:jc w:val="left"/>
        <w:rPr>
          <w:sz w:val="20"/>
        </w:rPr>
      </w:pPr>
      <w:r>
        <w:rPr>
          <w:sz w:val="20"/>
        </w:rPr>
        <w:t>wer verantwortlich</w:t>
      </w:r>
      <w:r>
        <w:rPr>
          <w:spacing w:val="-2"/>
          <w:sz w:val="20"/>
        </w:rPr>
        <w:t> </w:t>
      </w:r>
      <w:r>
        <w:rPr>
          <w:sz w:val="20"/>
        </w:rPr>
        <w:t>ist;</w:t>
      </w:r>
    </w:p>
    <w:p>
      <w:pPr>
        <w:pStyle w:val="BodyText"/>
        <w:spacing w:before="10"/>
      </w:pPr>
    </w:p>
    <w:p>
      <w:pPr>
        <w:pStyle w:val="ListParagraph"/>
        <w:numPr>
          <w:ilvl w:val="0"/>
          <w:numId w:val="11"/>
        </w:numPr>
        <w:tabs>
          <w:tab w:pos="1556" w:val="left" w:leader="none"/>
          <w:tab w:pos="1557" w:val="left" w:leader="none"/>
        </w:tabs>
        <w:spacing w:line="240" w:lineRule="auto" w:before="0" w:after="0"/>
        <w:ind w:left="1556" w:right="0" w:hanging="402"/>
        <w:jc w:val="left"/>
        <w:rPr>
          <w:sz w:val="20"/>
        </w:rPr>
      </w:pPr>
      <w:r>
        <w:rPr>
          <w:sz w:val="20"/>
        </w:rPr>
        <w:t>wann es abgeschlossen wird; und</w:t>
      </w:r>
    </w:p>
    <w:p>
      <w:pPr>
        <w:pStyle w:val="BodyText"/>
        <w:spacing w:before="11"/>
      </w:pPr>
    </w:p>
    <w:p>
      <w:pPr>
        <w:pStyle w:val="ListParagraph"/>
        <w:numPr>
          <w:ilvl w:val="0"/>
          <w:numId w:val="11"/>
        </w:numPr>
        <w:tabs>
          <w:tab w:pos="1515" w:val="left" w:leader="none"/>
          <w:tab w:pos="1516" w:val="left" w:leader="none"/>
        </w:tabs>
        <w:spacing w:line="240" w:lineRule="auto" w:before="0" w:after="0"/>
        <w:ind w:left="1515" w:right="0" w:hanging="361"/>
        <w:jc w:val="left"/>
        <w:rPr>
          <w:sz w:val="20"/>
        </w:rPr>
      </w:pPr>
      <w:r>
        <w:rPr>
          <w:sz w:val="20"/>
        </w:rPr>
        <w:t>wie die Ergebnisse bewertet</w:t>
      </w:r>
      <w:r>
        <w:rPr>
          <w:spacing w:val="-1"/>
          <w:sz w:val="20"/>
        </w:rPr>
        <w:t> </w:t>
      </w:r>
      <w:r>
        <w:rPr>
          <w:sz w:val="20"/>
        </w:rPr>
        <w:t>werden.</w:t>
      </w:r>
    </w:p>
    <w:p>
      <w:pPr>
        <w:pStyle w:val="BodyText"/>
        <w:spacing w:before="1"/>
        <w:rPr>
          <w:sz w:val="23"/>
        </w:rPr>
      </w:pPr>
    </w:p>
    <w:p>
      <w:pPr>
        <w:pStyle w:val="ListParagraph"/>
        <w:numPr>
          <w:ilvl w:val="0"/>
          <w:numId w:val="2"/>
        </w:numPr>
        <w:tabs>
          <w:tab w:pos="1559" w:val="left" w:leader="none"/>
          <w:tab w:pos="1560" w:val="left" w:leader="none"/>
        </w:tabs>
        <w:spacing w:line="240" w:lineRule="auto" w:before="0" w:after="0"/>
        <w:ind w:left="1559" w:right="0" w:hanging="404"/>
        <w:jc w:val="left"/>
        <w:rPr>
          <w:b/>
          <w:sz w:val="24"/>
        </w:rPr>
      </w:pPr>
      <w:bookmarkStart w:name="7 Unterstützung" w:id="67"/>
      <w:bookmarkEnd w:id="67"/>
      <w:r>
        <w:rPr/>
      </w:r>
      <w:bookmarkStart w:name="_bookmark20" w:id="68"/>
      <w:bookmarkEnd w:id="68"/>
      <w:r>
        <w:rPr/>
      </w:r>
      <w:bookmarkStart w:name="_bookmark20" w:id="69"/>
      <w:bookmarkEnd w:id="69"/>
      <w:r>
        <w:rPr>
          <w:b/>
          <w:sz w:val="24"/>
        </w:rPr>
        <w:t>Unt</w:t>
      </w:r>
      <w:r>
        <w:rPr>
          <w:b/>
          <w:sz w:val="24"/>
        </w:rPr>
        <w:t>erstützung</w:t>
      </w:r>
    </w:p>
    <w:p>
      <w:pPr>
        <w:pStyle w:val="BodyText"/>
        <w:spacing w:before="7"/>
        <w:rPr>
          <w:b/>
        </w:rPr>
      </w:pPr>
    </w:p>
    <w:p>
      <w:pPr>
        <w:pStyle w:val="ListParagraph"/>
        <w:numPr>
          <w:ilvl w:val="1"/>
          <w:numId w:val="2"/>
        </w:numPr>
        <w:tabs>
          <w:tab w:pos="1655" w:val="left" w:leader="none"/>
        </w:tabs>
        <w:spacing w:line="240" w:lineRule="auto" w:before="0" w:after="0"/>
        <w:ind w:left="1655" w:right="0" w:hanging="499"/>
        <w:jc w:val="left"/>
        <w:rPr>
          <w:b/>
          <w:sz w:val="22"/>
        </w:rPr>
      </w:pPr>
      <w:bookmarkStart w:name="7.1 Ressourcen" w:id="70"/>
      <w:bookmarkEnd w:id="70"/>
      <w:r>
        <w:rPr/>
      </w:r>
      <w:bookmarkStart w:name="_bookmark21" w:id="71"/>
      <w:bookmarkEnd w:id="71"/>
      <w:r>
        <w:rPr/>
      </w:r>
      <w:bookmarkStart w:name="_bookmark21" w:id="72"/>
      <w:bookmarkEnd w:id="72"/>
      <w:r>
        <w:rPr>
          <w:b/>
          <w:sz w:val="22"/>
        </w:rPr>
        <w:t>R</w:t>
      </w:r>
      <w:r>
        <w:rPr>
          <w:b/>
          <w:sz w:val="22"/>
        </w:rPr>
        <w:t>essourcen</w:t>
      </w:r>
    </w:p>
    <w:p>
      <w:pPr>
        <w:pStyle w:val="BodyText"/>
        <w:spacing w:before="9"/>
        <w:rPr>
          <w:b/>
        </w:rPr>
      </w:pPr>
    </w:p>
    <w:p>
      <w:pPr>
        <w:pStyle w:val="BodyText"/>
        <w:ind w:left="1155" w:right="197"/>
        <w:jc w:val="both"/>
      </w:pPr>
      <w:r>
        <w:rPr/>
        <w:t>Die Organisation muss die erforderlichen Ressourcen für den Aufbau, die Verwirklichung, die Aufrechterhaltung und die fortlaufende Verbesserung des Informationssicherheitsmanagementsystems bestimmen und bereitstellen.</w:t>
      </w:r>
    </w:p>
    <w:p>
      <w:pPr>
        <w:pStyle w:val="BodyText"/>
        <w:spacing w:before="9"/>
      </w:pPr>
    </w:p>
    <w:p>
      <w:pPr>
        <w:pStyle w:val="ListParagraph"/>
        <w:numPr>
          <w:ilvl w:val="1"/>
          <w:numId w:val="2"/>
        </w:numPr>
        <w:tabs>
          <w:tab w:pos="1655" w:val="left" w:leader="none"/>
        </w:tabs>
        <w:spacing w:line="240" w:lineRule="auto" w:before="0" w:after="0"/>
        <w:ind w:left="1655" w:right="0" w:hanging="499"/>
        <w:jc w:val="left"/>
        <w:rPr>
          <w:b/>
          <w:sz w:val="22"/>
        </w:rPr>
      </w:pPr>
      <w:bookmarkStart w:name="7.2 Kompetenz" w:id="73"/>
      <w:bookmarkEnd w:id="73"/>
      <w:r>
        <w:rPr/>
      </w:r>
      <w:bookmarkStart w:name="_bookmark22" w:id="74"/>
      <w:bookmarkEnd w:id="74"/>
      <w:r>
        <w:rPr/>
      </w:r>
      <w:bookmarkStart w:name="_bookmark22" w:id="75"/>
      <w:bookmarkEnd w:id="75"/>
      <w:r>
        <w:rPr>
          <w:b/>
          <w:sz w:val="22"/>
        </w:rPr>
        <w:t>K</w:t>
      </w:r>
      <w:r>
        <w:rPr>
          <w:b/>
          <w:sz w:val="22"/>
        </w:rPr>
        <w:t>ompetenz</w:t>
      </w:r>
    </w:p>
    <w:p>
      <w:pPr>
        <w:pStyle w:val="BodyText"/>
        <w:spacing w:before="9"/>
        <w:rPr>
          <w:b/>
        </w:rPr>
      </w:pPr>
    </w:p>
    <w:p>
      <w:pPr>
        <w:pStyle w:val="BodyText"/>
        <w:ind w:left="1156"/>
        <w:jc w:val="both"/>
      </w:pPr>
      <w:r>
        <w:rPr/>
        <w:t>Die Organisation muss:</w:t>
      </w:r>
    </w:p>
    <w:p>
      <w:pPr>
        <w:pStyle w:val="BodyText"/>
        <w:spacing w:before="10"/>
      </w:pPr>
    </w:p>
    <w:p>
      <w:pPr>
        <w:pStyle w:val="ListParagraph"/>
        <w:numPr>
          <w:ilvl w:val="0"/>
          <w:numId w:val="12"/>
        </w:numPr>
        <w:tabs>
          <w:tab w:pos="1556" w:val="left" w:leader="none"/>
          <w:tab w:pos="1557" w:val="left" w:leader="none"/>
        </w:tabs>
        <w:spacing w:line="240" w:lineRule="auto" w:before="0" w:after="0"/>
        <w:ind w:left="1556" w:right="200" w:hanging="401"/>
        <w:jc w:val="left"/>
        <w:rPr>
          <w:sz w:val="20"/>
        </w:rPr>
      </w:pPr>
      <w:r>
        <w:rPr>
          <w:sz w:val="20"/>
        </w:rPr>
        <w:t>für Personen, die unter ihrer Aufsicht Tätigkeiten verrichten, welche die Informationssicherheitsleistung der Organisation beeinflussen, die erforderliche Kompetenz</w:t>
      </w:r>
      <w:r>
        <w:rPr>
          <w:spacing w:val="-6"/>
          <w:sz w:val="20"/>
        </w:rPr>
        <w:t> </w:t>
      </w:r>
      <w:r>
        <w:rPr>
          <w:sz w:val="20"/>
        </w:rPr>
        <w:t>bestimmen;</w:t>
      </w:r>
    </w:p>
    <w:p>
      <w:pPr>
        <w:pStyle w:val="BodyText"/>
        <w:spacing w:before="8"/>
      </w:pPr>
    </w:p>
    <w:p>
      <w:pPr>
        <w:pStyle w:val="ListParagraph"/>
        <w:numPr>
          <w:ilvl w:val="0"/>
          <w:numId w:val="12"/>
        </w:numPr>
        <w:tabs>
          <w:tab w:pos="1556" w:val="left" w:leader="none"/>
          <w:tab w:pos="1557" w:val="left" w:leader="none"/>
        </w:tabs>
        <w:spacing w:line="240" w:lineRule="auto" w:before="1" w:after="0"/>
        <w:ind w:left="1556" w:right="201" w:hanging="401"/>
        <w:jc w:val="left"/>
        <w:rPr>
          <w:sz w:val="20"/>
        </w:rPr>
      </w:pPr>
      <w:r>
        <w:rPr>
          <w:sz w:val="20"/>
        </w:rPr>
        <w:t>sicherstellen, dass diese Personen auf Grundlage angemessener Ausbildung, Schulung oder Erfahrung kompetent</w:t>
      </w:r>
      <w:r>
        <w:rPr>
          <w:spacing w:val="-2"/>
          <w:sz w:val="20"/>
        </w:rPr>
        <w:t> </w:t>
      </w:r>
      <w:r>
        <w:rPr>
          <w:sz w:val="20"/>
        </w:rPr>
        <w:t>sind;</w:t>
      </w:r>
    </w:p>
    <w:p>
      <w:pPr>
        <w:pStyle w:val="BodyText"/>
        <w:spacing w:before="10"/>
      </w:pPr>
    </w:p>
    <w:p>
      <w:pPr>
        <w:pStyle w:val="ListParagraph"/>
        <w:numPr>
          <w:ilvl w:val="0"/>
          <w:numId w:val="12"/>
        </w:numPr>
        <w:tabs>
          <w:tab w:pos="1556" w:val="left" w:leader="none"/>
          <w:tab w:pos="1557" w:val="left" w:leader="none"/>
        </w:tabs>
        <w:spacing w:line="240" w:lineRule="auto" w:before="0" w:after="0"/>
        <w:ind w:left="1556" w:right="198" w:hanging="401"/>
        <w:jc w:val="left"/>
        <w:rPr>
          <w:sz w:val="20"/>
        </w:rPr>
      </w:pPr>
      <w:r>
        <w:rPr>
          <w:sz w:val="20"/>
        </w:rPr>
        <w:t>wenn erforderlich, Maßnahmen einleiten, um die benötigte Kompetenz zu erwerben, und die Wirksamkeit der getroffenen Maßnahmen zu bewerten;</w:t>
      </w:r>
      <w:r>
        <w:rPr>
          <w:spacing w:val="-2"/>
          <w:sz w:val="20"/>
        </w:rPr>
        <w:t> </w:t>
      </w:r>
      <w:r>
        <w:rPr>
          <w:sz w:val="20"/>
        </w:rPr>
        <w:t>und</w:t>
      </w:r>
    </w:p>
    <w:p>
      <w:pPr>
        <w:pStyle w:val="BodyText"/>
        <w:rPr>
          <w:sz w:val="21"/>
        </w:rPr>
      </w:pPr>
    </w:p>
    <w:p>
      <w:pPr>
        <w:pStyle w:val="ListParagraph"/>
        <w:numPr>
          <w:ilvl w:val="0"/>
          <w:numId w:val="12"/>
        </w:numPr>
        <w:tabs>
          <w:tab w:pos="1556" w:val="left" w:leader="none"/>
          <w:tab w:pos="1557" w:val="left" w:leader="none"/>
        </w:tabs>
        <w:spacing w:line="240" w:lineRule="auto" w:before="0" w:after="0"/>
        <w:ind w:left="1556" w:right="0" w:hanging="401"/>
        <w:jc w:val="left"/>
        <w:rPr>
          <w:sz w:val="20"/>
        </w:rPr>
      </w:pPr>
      <w:r>
        <w:rPr>
          <w:sz w:val="20"/>
        </w:rPr>
        <w:t>angemessene dokumentierte Information als Nachweis der Kompetenz</w:t>
      </w:r>
      <w:r>
        <w:rPr>
          <w:spacing w:val="-10"/>
          <w:sz w:val="20"/>
        </w:rPr>
        <w:t> </w:t>
      </w:r>
      <w:r>
        <w:rPr>
          <w:sz w:val="20"/>
        </w:rPr>
        <w:t>aufbewahren.</w:t>
      </w:r>
    </w:p>
    <w:p>
      <w:pPr>
        <w:pStyle w:val="BodyText"/>
        <w:spacing w:before="1"/>
        <w:rPr>
          <w:sz w:val="21"/>
        </w:rPr>
      </w:pPr>
    </w:p>
    <w:p>
      <w:pPr>
        <w:spacing w:line="244" w:lineRule="auto" w:before="0"/>
        <w:ind w:left="1156" w:right="195" w:firstLine="0"/>
        <w:jc w:val="both"/>
        <w:rPr>
          <w:sz w:val="18"/>
        </w:rPr>
      </w:pPr>
      <w:r>
        <w:rPr>
          <w:sz w:val="18"/>
        </w:rPr>
        <w:t>ANMERKUNG Geeignete Maßnahmen können zum Beispiel sein: Schulung, Mentoring oder Versetzung  von  gegenwärtig angestellten Personen, oder Anstellung oder Beauftragung kompetenter</w:t>
      </w:r>
      <w:r>
        <w:rPr>
          <w:spacing w:val="-14"/>
          <w:sz w:val="18"/>
        </w:rPr>
        <w:t> </w:t>
      </w:r>
      <w:r>
        <w:rPr>
          <w:sz w:val="18"/>
        </w:rPr>
        <w:t>Personen.</w:t>
      </w:r>
    </w:p>
    <w:p>
      <w:pPr>
        <w:pStyle w:val="BodyText"/>
        <w:spacing w:before="1"/>
      </w:pPr>
    </w:p>
    <w:p>
      <w:pPr>
        <w:pStyle w:val="ListParagraph"/>
        <w:numPr>
          <w:ilvl w:val="1"/>
          <w:numId w:val="2"/>
        </w:numPr>
        <w:tabs>
          <w:tab w:pos="1655" w:val="left" w:leader="none"/>
        </w:tabs>
        <w:spacing w:line="240" w:lineRule="auto" w:before="0" w:after="0"/>
        <w:ind w:left="1655" w:right="0" w:hanging="499"/>
        <w:jc w:val="left"/>
        <w:rPr>
          <w:b/>
          <w:sz w:val="22"/>
        </w:rPr>
      </w:pPr>
      <w:bookmarkStart w:name="7.3 Bewusstsein" w:id="76"/>
      <w:bookmarkEnd w:id="76"/>
      <w:r>
        <w:rPr/>
      </w:r>
      <w:bookmarkStart w:name="_bookmark23" w:id="77"/>
      <w:bookmarkEnd w:id="77"/>
      <w:r>
        <w:rPr/>
      </w:r>
      <w:bookmarkStart w:name="_bookmark23" w:id="78"/>
      <w:bookmarkEnd w:id="78"/>
      <w:r>
        <w:rPr>
          <w:b/>
          <w:sz w:val="22"/>
        </w:rPr>
        <w:t>B</w:t>
      </w:r>
      <w:r>
        <w:rPr>
          <w:b/>
          <w:sz w:val="22"/>
        </w:rPr>
        <w:t>ewusstsein</w:t>
      </w:r>
    </w:p>
    <w:p>
      <w:pPr>
        <w:pStyle w:val="BodyText"/>
        <w:rPr>
          <w:b/>
          <w:sz w:val="21"/>
        </w:rPr>
      </w:pPr>
    </w:p>
    <w:p>
      <w:pPr>
        <w:pStyle w:val="BodyText"/>
        <w:ind w:left="1156"/>
        <w:jc w:val="both"/>
      </w:pPr>
      <w:r>
        <w:rPr/>
        <w:t>Personen, die unter Aufsicht der Organisation Tätigkeiten verrichten, müssen sich:</w:t>
      </w:r>
    </w:p>
    <w:p>
      <w:pPr>
        <w:pStyle w:val="BodyText"/>
        <w:spacing w:before="8"/>
      </w:pPr>
    </w:p>
    <w:p>
      <w:pPr>
        <w:pStyle w:val="ListParagraph"/>
        <w:numPr>
          <w:ilvl w:val="0"/>
          <w:numId w:val="13"/>
        </w:numPr>
        <w:tabs>
          <w:tab w:pos="1556" w:val="left" w:leader="none"/>
          <w:tab w:pos="1557" w:val="left" w:leader="none"/>
        </w:tabs>
        <w:spacing w:line="240" w:lineRule="auto" w:before="0" w:after="0"/>
        <w:ind w:left="1556" w:right="0" w:hanging="401"/>
        <w:jc w:val="left"/>
        <w:rPr>
          <w:sz w:val="20"/>
        </w:rPr>
      </w:pPr>
      <w:r>
        <w:rPr>
          <w:sz w:val="20"/>
        </w:rPr>
        <w:t>der</w:t>
      </w:r>
      <w:r>
        <w:rPr>
          <w:spacing w:val="-1"/>
          <w:sz w:val="20"/>
        </w:rPr>
        <w:t> </w:t>
      </w:r>
      <w:r>
        <w:rPr>
          <w:sz w:val="20"/>
        </w:rPr>
        <w:t>Informationssicherheitspolitik;</w:t>
      </w:r>
    </w:p>
    <w:p>
      <w:pPr>
        <w:pStyle w:val="BodyText"/>
        <w:spacing w:before="10"/>
      </w:pPr>
    </w:p>
    <w:p>
      <w:pPr>
        <w:pStyle w:val="ListParagraph"/>
        <w:numPr>
          <w:ilvl w:val="0"/>
          <w:numId w:val="13"/>
        </w:numPr>
        <w:tabs>
          <w:tab w:pos="1556" w:val="left" w:leader="none"/>
          <w:tab w:pos="1557" w:val="left" w:leader="none"/>
        </w:tabs>
        <w:spacing w:line="240" w:lineRule="auto" w:before="0" w:after="0"/>
        <w:ind w:left="1556" w:right="199" w:hanging="401"/>
        <w:jc w:val="left"/>
        <w:rPr>
          <w:sz w:val="20"/>
        </w:rPr>
      </w:pPr>
      <w:r>
        <w:rPr>
          <w:sz w:val="20"/>
        </w:rPr>
        <w:t>ihres Beitrags zur Wirksamkeit des Informationssicherheitsmanagementsystems, einschließlich der Vorteile einer verbesserten Informationssicherheitsleistung;</w:t>
      </w:r>
      <w:r>
        <w:rPr>
          <w:spacing w:val="2"/>
          <w:sz w:val="20"/>
        </w:rPr>
        <w:t> </w:t>
      </w:r>
      <w:r>
        <w:rPr>
          <w:sz w:val="20"/>
        </w:rPr>
        <w:t>und</w:t>
      </w:r>
    </w:p>
    <w:p>
      <w:pPr>
        <w:pStyle w:val="BodyText"/>
        <w:spacing w:before="11"/>
      </w:pPr>
    </w:p>
    <w:p>
      <w:pPr>
        <w:pStyle w:val="ListParagraph"/>
        <w:numPr>
          <w:ilvl w:val="0"/>
          <w:numId w:val="13"/>
        </w:numPr>
        <w:tabs>
          <w:tab w:pos="1556" w:val="left" w:leader="none"/>
          <w:tab w:pos="1557" w:val="left" w:leader="none"/>
        </w:tabs>
        <w:spacing w:line="491" w:lineRule="auto" w:before="0" w:after="0"/>
        <w:ind w:left="1155" w:right="696" w:firstLine="0"/>
        <w:jc w:val="left"/>
        <w:rPr>
          <w:sz w:val="20"/>
        </w:rPr>
      </w:pPr>
      <w:r>
        <w:rPr>
          <w:sz w:val="20"/>
        </w:rPr>
        <w:t>der Folgen einer Nichterfüllung der Anforderungen des Informationssicherheitsmanagementsystems bewusst</w:t>
      </w:r>
      <w:r>
        <w:rPr>
          <w:spacing w:val="-2"/>
          <w:sz w:val="20"/>
        </w:rPr>
        <w:t> </w:t>
      </w:r>
      <w:r>
        <w:rPr>
          <w:sz w:val="20"/>
        </w:rPr>
        <w:t>sein.</w:t>
      </w:r>
    </w:p>
    <w:p>
      <w:pPr>
        <w:pStyle w:val="ListParagraph"/>
        <w:numPr>
          <w:ilvl w:val="1"/>
          <w:numId w:val="2"/>
        </w:numPr>
        <w:tabs>
          <w:tab w:pos="1655" w:val="left" w:leader="none"/>
        </w:tabs>
        <w:spacing w:line="249" w:lineRule="exact" w:before="0" w:after="0"/>
        <w:ind w:left="1655" w:right="0" w:hanging="499"/>
        <w:jc w:val="left"/>
        <w:rPr>
          <w:b/>
          <w:sz w:val="22"/>
        </w:rPr>
      </w:pPr>
      <w:bookmarkStart w:name="7.4 Kommunikation" w:id="79"/>
      <w:bookmarkEnd w:id="79"/>
      <w:r>
        <w:rPr/>
      </w:r>
      <w:bookmarkStart w:name="_bookmark24" w:id="80"/>
      <w:bookmarkEnd w:id="80"/>
      <w:r>
        <w:rPr/>
      </w:r>
      <w:bookmarkStart w:name="_bookmark24" w:id="81"/>
      <w:bookmarkEnd w:id="81"/>
      <w:r>
        <w:rPr>
          <w:b/>
          <w:sz w:val="22"/>
        </w:rPr>
        <w:t>K</w:t>
      </w:r>
      <w:r>
        <w:rPr>
          <w:b/>
          <w:sz w:val="22"/>
        </w:rPr>
        <w:t>ommunikation</w:t>
      </w:r>
    </w:p>
    <w:p>
      <w:pPr>
        <w:pStyle w:val="BodyText"/>
        <w:spacing w:before="8"/>
        <w:rPr>
          <w:b/>
        </w:rPr>
      </w:pPr>
    </w:p>
    <w:p>
      <w:pPr>
        <w:pStyle w:val="BodyText"/>
        <w:spacing w:before="1"/>
        <w:ind w:left="1156" w:right="198"/>
        <w:jc w:val="both"/>
      </w:pPr>
      <w:r>
        <w:rPr/>
        <w:t>Die Organisation muss die interne und externe Kommunikation in Bezug auf das Informationssicherheitsmanagementsystem bestimmen, einschließlich</w:t>
      </w:r>
    </w:p>
    <w:p>
      <w:pPr>
        <w:pStyle w:val="BodyText"/>
        <w:spacing w:before="8"/>
      </w:pPr>
    </w:p>
    <w:p>
      <w:pPr>
        <w:pStyle w:val="ListParagraph"/>
        <w:numPr>
          <w:ilvl w:val="0"/>
          <w:numId w:val="14"/>
        </w:numPr>
        <w:tabs>
          <w:tab w:pos="1556" w:val="left" w:leader="none"/>
          <w:tab w:pos="1557" w:val="left" w:leader="none"/>
        </w:tabs>
        <w:spacing w:line="240" w:lineRule="auto" w:before="0" w:after="0"/>
        <w:ind w:left="1556" w:right="0" w:hanging="402"/>
        <w:jc w:val="left"/>
        <w:rPr>
          <w:sz w:val="20"/>
        </w:rPr>
      </w:pPr>
      <w:r>
        <w:rPr/>
        <w:pict>
          <v:shape style="position:absolute;margin-left:9.663086pt;margin-top:-4.269337pt;width:9.85pt;height:83.7pt;mso-position-horizontal-relative:page;mso-position-vertical-relative:paragraph;z-index:-254708736"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sz w:val="20"/>
        </w:rPr>
        <w:t>worüber kommuniziert wird;</w:t>
      </w:r>
    </w:p>
    <w:p>
      <w:pPr>
        <w:pStyle w:val="BodyText"/>
      </w:pPr>
    </w:p>
    <w:p>
      <w:pPr>
        <w:pStyle w:val="BodyText"/>
      </w:pPr>
    </w:p>
    <w:p>
      <w:pPr>
        <w:pStyle w:val="BodyText"/>
      </w:pPr>
    </w:p>
    <w:p>
      <w:pPr>
        <w:pStyle w:val="BodyText"/>
      </w:pPr>
    </w:p>
    <w:p>
      <w:pPr>
        <w:spacing w:before="0"/>
        <w:ind w:left="0" w:right="197" w:firstLine="0"/>
        <w:jc w:val="right"/>
        <w:rPr>
          <w:b/>
          <w:sz w:val="22"/>
        </w:rPr>
      </w:pPr>
      <w:r>
        <w:rPr>
          <w:b/>
          <w:sz w:val="22"/>
        </w:rPr>
        <w:t>11</w:t>
      </w:r>
    </w:p>
    <w:p>
      <w:pPr>
        <w:spacing w:after="0"/>
        <w:jc w:val="right"/>
        <w:rPr>
          <w:sz w:val="22"/>
        </w:rPr>
        <w:sectPr>
          <w:headerReference w:type="default" r:id="rId28"/>
          <w:headerReference w:type="even" r:id="rId29"/>
          <w:footerReference w:type="default" r:id="rId30"/>
          <w:pgSz w:w="11910" w:h="16840"/>
          <w:pgMar w:header="710" w:footer="0" w:top="1540" w:bottom="280" w:left="260" w:right="540"/>
        </w:sectPr>
      </w:pPr>
    </w:p>
    <w:p>
      <w:pPr>
        <w:pStyle w:val="ListParagraph"/>
        <w:numPr>
          <w:ilvl w:val="0"/>
          <w:numId w:val="14"/>
        </w:numPr>
        <w:tabs>
          <w:tab w:pos="877" w:val="left" w:leader="none"/>
          <w:tab w:pos="878" w:val="left" w:leader="none"/>
        </w:tabs>
        <w:spacing w:line="240" w:lineRule="auto" w:before="97" w:after="0"/>
        <w:ind w:left="877" w:right="0" w:hanging="402"/>
        <w:jc w:val="left"/>
        <w:rPr>
          <w:sz w:val="20"/>
        </w:rPr>
      </w:pPr>
      <w:r>
        <w:rPr>
          <w:sz w:val="20"/>
        </w:rPr>
        <w:t>wann kommuniziert</w:t>
      </w:r>
      <w:r>
        <w:rPr>
          <w:spacing w:val="-1"/>
          <w:sz w:val="20"/>
        </w:rPr>
        <w:t> </w:t>
      </w:r>
      <w:r>
        <w:rPr>
          <w:sz w:val="20"/>
        </w:rPr>
        <w:t>wird;</w:t>
      </w:r>
    </w:p>
    <w:p>
      <w:pPr>
        <w:pStyle w:val="BodyText"/>
        <w:spacing w:before="11"/>
      </w:pPr>
    </w:p>
    <w:p>
      <w:pPr>
        <w:pStyle w:val="ListParagraph"/>
        <w:numPr>
          <w:ilvl w:val="0"/>
          <w:numId w:val="14"/>
        </w:numPr>
        <w:tabs>
          <w:tab w:pos="877" w:val="left" w:leader="none"/>
          <w:tab w:pos="878" w:val="left" w:leader="none"/>
        </w:tabs>
        <w:spacing w:line="240" w:lineRule="auto" w:before="0" w:after="0"/>
        <w:ind w:left="877" w:right="0" w:hanging="402"/>
        <w:jc w:val="left"/>
        <w:rPr>
          <w:sz w:val="20"/>
        </w:rPr>
      </w:pPr>
      <w:r>
        <w:rPr>
          <w:sz w:val="20"/>
        </w:rPr>
        <w:t>mit wem kommuniziert wird;</w:t>
      </w:r>
    </w:p>
    <w:p>
      <w:pPr>
        <w:pStyle w:val="BodyText"/>
        <w:spacing w:before="10"/>
      </w:pPr>
    </w:p>
    <w:p>
      <w:pPr>
        <w:pStyle w:val="ListParagraph"/>
        <w:numPr>
          <w:ilvl w:val="0"/>
          <w:numId w:val="14"/>
        </w:numPr>
        <w:tabs>
          <w:tab w:pos="877" w:val="left" w:leader="none"/>
          <w:tab w:pos="878" w:val="left" w:leader="none"/>
        </w:tabs>
        <w:spacing w:line="240" w:lineRule="auto" w:before="0" w:after="0"/>
        <w:ind w:left="877" w:right="0" w:hanging="402"/>
        <w:jc w:val="left"/>
        <w:rPr>
          <w:sz w:val="20"/>
        </w:rPr>
      </w:pPr>
      <w:r>
        <w:rPr>
          <w:sz w:val="20"/>
        </w:rPr>
        <w:t>wer kommuniziert; und</w:t>
      </w:r>
    </w:p>
    <w:p>
      <w:pPr>
        <w:pStyle w:val="BodyText"/>
        <w:spacing w:before="8"/>
      </w:pPr>
    </w:p>
    <w:p>
      <w:pPr>
        <w:pStyle w:val="ListParagraph"/>
        <w:numPr>
          <w:ilvl w:val="0"/>
          <w:numId w:val="14"/>
        </w:numPr>
        <w:tabs>
          <w:tab w:pos="877" w:val="left" w:leader="none"/>
          <w:tab w:pos="878" w:val="left" w:leader="none"/>
        </w:tabs>
        <w:spacing w:line="240" w:lineRule="auto" w:before="0" w:after="0"/>
        <w:ind w:left="877" w:right="0" w:hanging="402"/>
        <w:jc w:val="left"/>
        <w:rPr>
          <w:sz w:val="20"/>
        </w:rPr>
      </w:pPr>
      <w:r>
        <w:rPr>
          <w:sz w:val="20"/>
        </w:rPr>
        <w:t>der Prozesse, mit welchen die Kommunikation bewerkstelligt</w:t>
      </w:r>
      <w:r>
        <w:rPr>
          <w:spacing w:val="-1"/>
          <w:sz w:val="20"/>
        </w:rPr>
        <w:t> </w:t>
      </w:r>
      <w:r>
        <w:rPr>
          <w:sz w:val="20"/>
        </w:rPr>
        <w:t>wird.</w:t>
      </w:r>
    </w:p>
    <w:p>
      <w:pPr>
        <w:pStyle w:val="BodyText"/>
        <w:spacing w:before="9"/>
      </w:pPr>
    </w:p>
    <w:p>
      <w:pPr>
        <w:pStyle w:val="ListParagraph"/>
        <w:numPr>
          <w:ilvl w:val="1"/>
          <w:numId w:val="2"/>
        </w:numPr>
        <w:tabs>
          <w:tab w:pos="976" w:val="left" w:leader="none"/>
        </w:tabs>
        <w:spacing w:line="240" w:lineRule="auto" w:before="0" w:after="0"/>
        <w:ind w:left="975" w:right="0" w:hanging="500"/>
        <w:jc w:val="left"/>
        <w:rPr>
          <w:b/>
          <w:sz w:val="22"/>
        </w:rPr>
      </w:pPr>
      <w:bookmarkStart w:name="7.5 Dokumentierte Information" w:id="82"/>
      <w:bookmarkEnd w:id="82"/>
      <w:r>
        <w:rPr/>
      </w:r>
      <w:bookmarkStart w:name="_bookmark25" w:id="83"/>
      <w:bookmarkEnd w:id="83"/>
      <w:r>
        <w:rPr/>
      </w:r>
      <w:bookmarkStart w:name="_bookmark25" w:id="84"/>
      <w:bookmarkEnd w:id="84"/>
      <w:r>
        <w:rPr>
          <w:b/>
          <w:sz w:val="22"/>
        </w:rPr>
        <w:t>D</w:t>
      </w:r>
      <w:r>
        <w:rPr>
          <w:b/>
          <w:sz w:val="22"/>
        </w:rPr>
        <w:t>okumentierte</w:t>
      </w:r>
      <w:r>
        <w:rPr>
          <w:b/>
          <w:spacing w:val="-3"/>
          <w:sz w:val="22"/>
        </w:rPr>
        <w:t> </w:t>
      </w:r>
      <w:r>
        <w:rPr>
          <w:b/>
          <w:sz w:val="22"/>
        </w:rPr>
        <w:t>Information</w:t>
      </w:r>
    </w:p>
    <w:p>
      <w:pPr>
        <w:pStyle w:val="BodyText"/>
        <w:spacing w:before="6"/>
        <w:rPr>
          <w:b/>
        </w:rPr>
      </w:pPr>
    </w:p>
    <w:p>
      <w:pPr>
        <w:pStyle w:val="Heading3"/>
        <w:numPr>
          <w:ilvl w:val="2"/>
          <w:numId w:val="2"/>
        </w:numPr>
        <w:tabs>
          <w:tab w:pos="1134" w:val="left" w:leader="none"/>
          <w:tab w:pos="1135" w:val="left" w:leader="none"/>
        </w:tabs>
        <w:spacing w:line="240" w:lineRule="auto" w:before="0" w:after="0"/>
        <w:ind w:left="1134" w:right="0" w:hanging="659"/>
        <w:jc w:val="left"/>
      </w:pPr>
      <w:bookmarkStart w:name="7.5.1 Allgemeines" w:id="85"/>
      <w:bookmarkEnd w:id="85"/>
      <w:r>
        <w:rPr>
          <w:b w:val="0"/>
        </w:rPr>
      </w:r>
      <w:bookmarkStart w:name="7.5.1 Allgemeines" w:id="86"/>
      <w:bookmarkEnd w:id="86"/>
      <w:r>
        <w:rPr/>
        <w:t>A</w:t>
      </w:r>
      <w:r>
        <w:rPr/>
        <w:t>llgemeines</w:t>
      </w:r>
    </w:p>
    <w:p>
      <w:pPr>
        <w:pStyle w:val="BodyText"/>
        <w:spacing w:before="1"/>
        <w:rPr>
          <w:b/>
          <w:sz w:val="21"/>
        </w:rPr>
      </w:pPr>
    </w:p>
    <w:p>
      <w:pPr>
        <w:pStyle w:val="BodyText"/>
        <w:ind w:left="476"/>
      </w:pPr>
      <w:r>
        <w:rPr/>
        <w:t>Das Informationssicherheitsmanagementsystem der Organisation muss beinhalten:</w:t>
      </w:r>
    </w:p>
    <w:p>
      <w:pPr>
        <w:pStyle w:val="BodyText"/>
        <w:spacing w:before="10"/>
      </w:pPr>
    </w:p>
    <w:p>
      <w:pPr>
        <w:pStyle w:val="ListParagraph"/>
        <w:numPr>
          <w:ilvl w:val="0"/>
          <w:numId w:val="15"/>
        </w:numPr>
        <w:tabs>
          <w:tab w:pos="877" w:val="left" w:leader="none"/>
          <w:tab w:pos="878" w:val="left" w:leader="none"/>
        </w:tabs>
        <w:spacing w:line="240" w:lineRule="auto" w:before="1" w:after="0"/>
        <w:ind w:left="877" w:right="0" w:hanging="402"/>
        <w:jc w:val="left"/>
        <w:rPr>
          <w:sz w:val="20"/>
        </w:rPr>
      </w:pPr>
      <w:r>
        <w:rPr>
          <w:sz w:val="20"/>
        </w:rPr>
        <w:t>die von dieser Internationalen Norm geforderte dokumentierte Information;</w:t>
      </w:r>
      <w:r>
        <w:rPr>
          <w:spacing w:val="-3"/>
          <w:sz w:val="20"/>
        </w:rPr>
        <w:t> </w:t>
      </w:r>
      <w:r>
        <w:rPr>
          <w:sz w:val="20"/>
        </w:rPr>
        <w:t>und</w:t>
      </w:r>
    </w:p>
    <w:p>
      <w:pPr>
        <w:pStyle w:val="BodyText"/>
        <w:spacing w:before="10"/>
      </w:pPr>
    </w:p>
    <w:p>
      <w:pPr>
        <w:pStyle w:val="ListParagraph"/>
        <w:numPr>
          <w:ilvl w:val="0"/>
          <w:numId w:val="15"/>
        </w:numPr>
        <w:tabs>
          <w:tab w:pos="877" w:val="left" w:leader="none"/>
          <w:tab w:pos="878" w:val="left" w:leader="none"/>
        </w:tabs>
        <w:spacing w:line="240" w:lineRule="auto" w:before="0" w:after="0"/>
        <w:ind w:left="877" w:right="878" w:hanging="401"/>
        <w:jc w:val="left"/>
        <w:rPr>
          <w:sz w:val="20"/>
        </w:rPr>
      </w:pPr>
      <w:r>
        <w:rPr>
          <w:sz w:val="20"/>
        </w:rPr>
        <w:t>dokumentierte Information, welche die Organisation als notwendig für die Wirksamkeit des Managementsystems bestimmt</w:t>
      </w:r>
      <w:r>
        <w:rPr>
          <w:spacing w:val="-2"/>
          <w:sz w:val="20"/>
        </w:rPr>
        <w:t> </w:t>
      </w:r>
      <w:r>
        <w:rPr>
          <w:sz w:val="20"/>
        </w:rPr>
        <w:t>hat.</w:t>
      </w:r>
    </w:p>
    <w:p>
      <w:pPr>
        <w:pStyle w:val="BodyText"/>
        <w:spacing w:before="4"/>
        <w:rPr>
          <w:sz w:val="21"/>
        </w:rPr>
      </w:pPr>
    </w:p>
    <w:p>
      <w:pPr>
        <w:tabs>
          <w:tab w:pos="1916" w:val="left" w:leader="none"/>
        </w:tabs>
        <w:spacing w:before="0"/>
        <w:ind w:left="476" w:right="917" w:firstLine="0"/>
        <w:jc w:val="left"/>
        <w:rPr>
          <w:sz w:val="18"/>
        </w:rPr>
      </w:pPr>
      <w:r>
        <w:rPr>
          <w:sz w:val="18"/>
        </w:rPr>
        <w:t>ANMERKUNG</w:t>
        <w:tab/>
        <w:t>Der Umfang dokumentierter Information für ein Informationssicherheitsmanagementsystem kann sich von Organisation zu Organisation unterscheiden, und zwar</w:t>
      </w:r>
      <w:r>
        <w:rPr>
          <w:spacing w:val="2"/>
          <w:sz w:val="18"/>
        </w:rPr>
        <w:t> </w:t>
      </w:r>
      <w:r>
        <w:rPr>
          <w:sz w:val="18"/>
        </w:rPr>
        <w:t>aufgrund:</w:t>
      </w:r>
    </w:p>
    <w:p>
      <w:pPr>
        <w:pStyle w:val="BodyText"/>
        <w:rPr>
          <w:sz w:val="21"/>
        </w:rPr>
      </w:pPr>
    </w:p>
    <w:p>
      <w:pPr>
        <w:pStyle w:val="ListParagraph"/>
        <w:numPr>
          <w:ilvl w:val="1"/>
          <w:numId w:val="15"/>
        </w:numPr>
        <w:tabs>
          <w:tab w:pos="1275" w:val="left" w:leader="none"/>
          <w:tab w:pos="1276" w:val="left" w:leader="none"/>
        </w:tabs>
        <w:spacing w:line="240" w:lineRule="auto" w:before="0" w:after="0"/>
        <w:ind w:left="1276" w:right="0" w:hanging="399"/>
        <w:jc w:val="left"/>
        <w:rPr>
          <w:sz w:val="20"/>
        </w:rPr>
      </w:pPr>
      <w:r>
        <w:rPr>
          <w:sz w:val="20"/>
        </w:rPr>
        <w:t>der Größe der Organisation und der Art ihrer Tätigkeiten, Prozesse, Produkte und</w:t>
      </w:r>
      <w:r>
        <w:rPr>
          <w:spacing w:val="-21"/>
          <w:sz w:val="20"/>
        </w:rPr>
        <w:t> </w:t>
      </w:r>
      <w:r>
        <w:rPr>
          <w:sz w:val="20"/>
        </w:rPr>
        <w:t>Dienstleistungen;</w:t>
      </w:r>
    </w:p>
    <w:p>
      <w:pPr>
        <w:pStyle w:val="BodyText"/>
        <w:spacing w:before="8"/>
      </w:pPr>
    </w:p>
    <w:p>
      <w:pPr>
        <w:pStyle w:val="ListParagraph"/>
        <w:numPr>
          <w:ilvl w:val="1"/>
          <w:numId w:val="15"/>
        </w:numPr>
        <w:tabs>
          <w:tab w:pos="1275" w:val="left" w:leader="none"/>
          <w:tab w:pos="1276" w:val="left" w:leader="none"/>
        </w:tabs>
        <w:spacing w:line="240" w:lineRule="auto" w:before="0" w:after="0"/>
        <w:ind w:left="1276" w:right="0" w:hanging="399"/>
        <w:jc w:val="left"/>
        <w:rPr>
          <w:sz w:val="20"/>
        </w:rPr>
      </w:pPr>
      <w:r>
        <w:rPr>
          <w:sz w:val="20"/>
        </w:rPr>
        <w:t>der Komplexität der Prozesse und deren Wechselwirkungen;</w:t>
      </w:r>
      <w:r>
        <w:rPr>
          <w:spacing w:val="-9"/>
          <w:sz w:val="20"/>
        </w:rPr>
        <w:t> </w:t>
      </w:r>
      <w:r>
        <w:rPr>
          <w:sz w:val="20"/>
        </w:rPr>
        <w:t>und</w:t>
      </w:r>
    </w:p>
    <w:p>
      <w:pPr>
        <w:pStyle w:val="BodyText"/>
        <w:spacing w:before="10"/>
      </w:pPr>
    </w:p>
    <w:p>
      <w:pPr>
        <w:pStyle w:val="ListParagraph"/>
        <w:numPr>
          <w:ilvl w:val="1"/>
          <w:numId w:val="15"/>
        </w:numPr>
        <w:tabs>
          <w:tab w:pos="1275" w:val="left" w:leader="none"/>
          <w:tab w:pos="1276" w:val="left" w:leader="none"/>
        </w:tabs>
        <w:spacing w:line="240" w:lineRule="auto" w:before="1" w:after="0"/>
        <w:ind w:left="1276" w:right="0" w:hanging="399"/>
        <w:jc w:val="left"/>
        <w:rPr>
          <w:sz w:val="20"/>
        </w:rPr>
      </w:pPr>
      <w:r>
        <w:rPr>
          <w:sz w:val="20"/>
        </w:rPr>
        <w:t>der Kompetenz der</w:t>
      </w:r>
      <w:r>
        <w:rPr>
          <w:spacing w:val="-1"/>
          <w:sz w:val="20"/>
        </w:rPr>
        <w:t> </w:t>
      </w:r>
      <w:r>
        <w:rPr>
          <w:sz w:val="20"/>
        </w:rPr>
        <w:t>Personen.</w:t>
      </w:r>
    </w:p>
    <w:p>
      <w:pPr>
        <w:pStyle w:val="BodyText"/>
        <w:spacing w:before="7"/>
      </w:pPr>
    </w:p>
    <w:p>
      <w:pPr>
        <w:pStyle w:val="Heading3"/>
        <w:numPr>
          <w:ilvl w:val="2"/>
          <w:numId w:val="2"/>
        </w:numPr>
        <w:tabs>
          <w:tab w:pos="1134" w:val="left" w:leader="none"/>
          <w:tab w:pos="1135" w:val="left" w:leader="none"/>
        </w:tabs>
        <w:spacing w:line="240" w:lineRule="auto" w:before="0" w:after="0"/>
        <w:ind w:left="1134" w:right="0" w:hanging="659"/>
        <w:jc w:val="left"/>
      </w:pPr>
      <w:bookmarkStart w:name="7.5.2 Erstellen und Aktualisieren" w:id="87"/>
      <w:bookmarkEnd w:id="87"/>
      <w:r>
        <w:rPr>
          <w:b w:val="0"/>
        </w:rPr>
      </w:r>
      <w:bookmarkStart w:name="7.5.2 Erstellen und Aktualisieren" w:id="88"/>
      <w:bookmarkEnd w:id="88"/>
      <w:r>
        <w:rPr/>
        <w:t>Er</w:t>
      </w:r>
      <w:r>
        <w:rPr/>
        <w:t>stellen und</w:t>
      </w:r>
      <w:r>
        <w:rPr>
          <w:spacing w:val="4"/>
        </w:rPr>
        <w:t> </w:t>
      </w:r>
      <w:r>
        <w:rPr/>
        <w:t>Aktualisieren</w:t>
      </w:r>
    </w:p>
    <w:p>
      <w:pPr>
        <w:pStyle w:val="BodyText"/>
        <w:spacing w:before="2"/>
        <w:rPr>
          <w:b/>
          <w:sz w:val="21"/>
        </w:rPr>
      </w:pPr>
    </w:p>
    <w:p>
      <w:pPr>
        <w:pStyle w:val="BodyText"/>
        <w:ind w:left="476"/>
      </w:pPr>
      <w:r>
        <w:rPr/>
        <w:t>Beim Erstellen und Aktualisieren dokumentierter Information muss die Organisation:</w:t>
      </w:r>
    </w:p>
    <w:p>
      <w:pPr>
        <w:pStyle w:val="BodyText"/>
        <w:spacing w:before="10"/>
      </w:pPr>
    </w:p>
    <w:p>
      <w:pPr>
        <w:pStyle w:val="ListParagraph"/>
        <w:numPr>
          <w:ilvl w:val="0"/>
          <w:numId w:val="16"/>
        </w:numPr>
        <w:tabs>
          <w:tab w:pos="837" w:val="left" w:leader="none"/>
        </w:tabs>
        <w:spacing w:line="240" w:lineRule="auto" w:before="0" w:after="0"/>
        <w:ind w:left="836" w:right="0" w:hanging="361"/>
        <w:jc w:val="left"/>
        <w:rPr>
          <w:sz w:val="20"/>
        </w:rPr>
      </w:pPr>
      <w:r>
        <w:rPr>
          <w:sz w:val="20"/>
        </w:rPr>
        <w:t>angemessene Kennzeichnung und Beschreibung (z. B. Titel, Datum, Autor oder</w:t>
      </w:r>
      <w:r>
        <w:rPr>
          <w:spacing w:val="-8"/>
          <w:sz w:val="20"/>
        </w:rPr>
        <w:t> </w:t>
      </w:r>
      <w:r>
        <w:rPr>
          <w:sz w:val="20"/>
        </w:rPr>
        <w:t>Referenznummer);</w:t>
      </w:r>
    </w:p>
    <w:p>
      <w:pPr>
        <w:pStyle w:val="BodyText"/>
        <w:spacing w:before="10"/>
      </w:pPr>
    </w:p>
    <w:p>
      <w:pPr>
        <w:pStyle w:val="ListParagraph"/>
        <w:numPr>
          <w:ilvl w:val="0"/>
          <w:numId w:val="16"/>
        </w:numPr>
        <w:tabs>
          <w:tab w:pos="877" w:val="left" w:leader="none"/>
          <w:tab w:pos="878" w:val="left" w:leader="none"/>
        </w:tabs>
        <w:spacing w:line="240" w:lineRule="auto" w:before="0" w:after="0"/>
        <w:ind w:left="877" w:right="876" w:hanging="401"/>
        <w:jc w:val="left"/>
        <w:rPr>
          <w:sz w:val="20"/>
        </w:rPr>
      </w:pPr>
      <w:r>
        <w:rPr>
          <w:sz w:val="20"/>
        </w:rPr>
        <w:t>angemessenes Format (z. B. Sprache, Softwareversion, Graphiken) und Medium (z. B. Papier, elektronisches Medium);</w:t>
      </w:r>
      <w:r>
        <w:rPr>
          <w:spacing w:val="-2"/>
          <w:sz w:val="20"/>
        </w:rPr>
        <w:t> </w:t>
      </w:r>
      <w:r>
        <w:rPr>
          <w:sz w:val="20"/>
        </w:rPr>
        <w:t>und</w:t>
      </w:r>
    </w:p>
    <w:p>
      <w:pPr>
        <w:pStyle w:val="BodyText"/>
        <w:spacing w:before="9"/>
      </w:pPr>
    </w:p>
    <w:p>
      <w:pPr>
        <w:pStyle w:val="ListParagraph"/>
        <w:numPr>
          <w:ilvl w:val="0"/>
          <w:numId w:val="16"/>
        </w:numPr>
        <w:tabs>
          <w:tab w:pos="877" w:val="left" w:leader="none"/>
          <w:tab w:pos="878" w:val="left" w:leader="none"/>
        </w:tabs>
        <w:spacing w:line="491" w:lineRule="auto" w:before="0" w:after="0"/>
        <w:ind w:left="531" w:right="2026" w:hanging="56"/>
        <w:jc w:val="left"/>
        <w:rPr>
          <w:sz w:val="20"/>
        </w:rPr>
      </w:pPr>
      <w:r>
        <w:rPr>
          <w:sz w:val="20"/>
        </w:rPr>
        <w:t>angemessene Überprüfung und Genehmigung im Hinblick auf Eignung und</w:t>
      </w:r>
      <w:r>
        <w:rPr>
          <w:spacing w:val="-41"/>
          <w:sz w:val="20"/>
        </w:rPr>
        <w:t> </w:t>
      </w:r>
      <w:r>
        <w:rPr>
          <w:sz w:val="20"/>
        </w:rPr>
        <w:t>Angemessenheit sicherstellen.</w:t>
      </w:r>
    </w:p>
    <w:p>
      <w:pPr>
        <w:pStyle w:val="Heading3"/>
        <w:numPr>
          <w:ilvl w:val="2"/>
          <w:numId w:val="2"/>
        </w:numPr>
        <w:tabs>
          <w:tab w:pos="1133" w:val="left" w:leader="none"/>
          <w:tab w:pos="1134" w:val="left" w:leader="none"/>
        </w:tabs>
        <w:spacing w:line="225" w:lineRule="exact" w:before="0" w:after="0"/>
        <w:ind w:left="1133" w:right="0" w:hanging="658"/>
        <w:jc w:val="left"/>
      </w:pPr>
      <w:bookmarkStart w:name="7.5.3 Lenkung dokumentierter Information" w:id="89"/>
      <w:bookmarkEnd w:id="89"/>
      <w:r>
        <w:rPr>
          <w:b w:val="0"/>
        </w:rPr>
      </w:r>
      <w:bookmarkStart w:name="7.5.3 Lenkung dokumentierter Information" w:id="90"/>
      <w:bookmarkEnd w:id="90"/>
      <w:r>
        <w:rPr/>
        <w:t>L</w:t>
      </w:r>
      <w:r>
        <w:rPr/>
        <w:t>enkung dokumentierter</w:t>
      </w:r>
      <w:r>
        <w:rPr>
          <w:spacing w:val="-3"/>
        </w:rPr>
        <w:t> </w:t>
      </w:r>
      <w:r>
        <w:rPr/>
        <w:t>Information</w:t>
      </w:r>
    </w:p>
    <w:p>
      <w:pPr>
        <w:pStyle w:val="BodyText"/>
        <w:spacing w:before="1"/>
        <w:rPr>
          <w:b/>
          <w:sz w:val="21"/>
        </w:rPr>
      </w:pPr>
    </w:p>
    <w:p>
      <w:pPr>
        <w:pStyle w:val="BodyText"/>
        <w:ind w:left="476" w:right="917"/>
      </w:pPr>
      <w:r>
        <w:rPr/>
        <w:t>Die für das Informationssicherheitsmanagementsystem erforderliche und von dieser Internationalen Norm geforderte dokumentierte Information muss gelenkt werden, um sicherzustellen, dass sie</w:t>
      </w:r>
    </w:p>
    <w:p>
      <w:pPr>
        <w:pStyle w:val="BodyText"/>
        <w:spacing w:before="8"/>
      </w:pPr>
    </w:p>
    <w:p>
      <w:pPr>
        <w:pStyle w:val="ListParagraph"/>
        <w:numPr>
          <w:ilvl w:val="0"/>
          <w:numId w:val="17"/>
        </w:numPr>
        <w:tabs>
          <w:tab w:pos="876" w:val="left" w:leader="none"/>
          <w:tab w:pos="877" w:val="left" w:leader="none"/>
        </w:tabs>
        <w:spacing w:line="240" w:lineRule="auto" w:before="1" w:after="0"/>
        <w:ind w:left="877" w:right="0" w:hanging="401"/>
        <w:jc w:val="left"/>
        <w:rPr>
          <w:sz w:val="20"/>
        </w:rPr>
      </w:pPr>
      <w:r>
        <w:rPr>
          <w:sz w:val="20"/>
        </w:rPr>
        <w:t>verfügbar und für die Verwendung geeignet ist, wo und wann sie benötigt wird;</w:t>
      </w:r>
      <w:r>
        <w:rPr>
          <w:spacing w:val="-1"/>
          <w:sz w:val="20"/>
        </w:rPr>
        <w:t> </w:t>
      </w:r>
      <w:r>
        <w:rPr>
          <w:sz w:val="20"/>
        </w:rPr>
        <w:t>und</w:t>
      </w:r>
    </w:p>
    <w:p>
      <w:pPr>
        <w:pStyle w:val="BodyText"/>
        <w:spacing w:before="10"/>
      </w:pPr>
    </w:p>
    <w:p>
      <w:pPr>
        <w:pStyle w:val="ListParagraph"/>
        <w:numPr>
          <w:ilvl w:val="0"/>
          <w:numId w:val="17"/>
        </w:numPr>
        <w:tabs>
          <w:tab w:pos="876" w:val="left" w:leader="none"/>
          <w:tab w:pos="877" w:val="left" w:leader="none"/>
        </w:tabs>
        <w:spacing w:line="240" w:lineRule="auto" w:before="0" w:after="0"/>
        <w:ind w:left="877" w:right="883" w:hanging="401"/>
        <w:jc w:val="left"/>
        <w:rPr>
          <w:sz w:val="20"/>
        </w:rPr>
      </w:pPr>
      <w:r>
        <w:rPr>
          <w:sz w:val="20"/>
        </w:rPr>
        <w:t>angemessen geschützt wird (z. B. vor Verlust der Vertraulichkeit, unsachgemäßem Gebrauch oder Verlust der</w:t>
      </w:r>
      <w:r>
        <w:rPr>
          <w:spacing w:val="-2"/>
          <w:sz w:val="20"/>
        </w:rPr>
        <w:t> </w:t>
      </w:r>
      <w:r>
        <w:rPr>
          <w:sz w:val="20"/>
        </w:rPr>
        <w:t>Integrität).</w:t>
      </w:r>
    </w:p>
    <w:p>
      <w:pPr>
        <w:pStyle w:val="BodyText"/>
        <w:spacing w:before="11"/>
      </w:pPr>
    </w:p>
    <w:p>
      <w:pPr>
        <w:pStyle w:val="BodyText"/>
        <w:ind w:left="476" w:right="1675"/>
      </w:pPr>
      <w:r>
        <w:rPr/>
        <w:t>Zur Lenkung dokumentierter Information muss die Organisation, falls zutreffend, folgende Tätigkeiten berücksichtigen:</w:t>
      </w:r>
    </w:p>
    <w:p>
      <w:pPr>
        <w:pStyle w:val="BodyText"/>
        <w:spacing w:before="10"/>
      </w:pPr>
    </w:p>
    <w:p>
      <w:pPr>
        <w:pStyle w:val="ListParagraph"/>
        <w:numPr>
          <w:ilvl w:val="0"/>
          <w:numId w:val="17"/>
        </w:numPr>
        <w:tabs>
          <w:tab w:pos="876" w:val="left" w:leader="none"/>
          <w:tab w:pos="877" w:val="left" w:leader="none"/>
        </w:tabs>
        <w:spacing w:line="240" w:lineRule="auto" w:before="1" w:after="0"/>
        <w:ind w:left="877" w:right="0" w:hanging="401"/>
        <w:jc w:val="left"/>
        <w:rPr>
          <w:sz w:val="20"/>
        </w:rPr>
      </w:pPr>
      <w:r>
        <w:rPr>
          <w:sz w:val="20"/>
        </w:rPr>
        <w:t>Verteilung, Zugriff, Auffindung und</w:t>
      </w:r>
      <w:r>
        <w:rPr>
          <w:spacing w:val="-1"/>
          <w:sz w:val="20"/>
        </w:rPr>
        <w:t> </w:t>
      </w:r>
      <w:r>
        <w:rPr>
          <w:sz w:val="20"/>
        </w:rPr>
        <w:t>Verwendung;</w:t>
      </w:r>
    </w:p>
    <w:p>
      <w:pPr>
        <w:pStyle w:val="BodyText"/>
        <w:spacing w:before="7"/>
      </w:pPr>
    </w:p>
    <w:p>
      <w:pPr>
        <w:pStyle w:val="ListParagraph"/>
        <w:numPr>
          <w:ilvl w:val="0"/>
          <w:numId w:val="17"/>
        </w:numPr>
        <w:tabs>
          <w:tab w:pos="876" w:val="left" w:leader="none"/>
          <w:tab w:pos="877" w:val="left" w:leader="none"/>
        </w:tabs>
        <w:spacing w:line="240" w:lineRule="auto" w:before="1" w:after="0"/>
        <w:ind w:left="877" w:right="0" w:hanging="401"/>
        <w:jc w:val="left"/>
        <w:rPr>
          <w:sz w:val="20"/>
        </w:rPr>
      </w:pPr>
      <w:r>
        <w:rPr/>
        <w:pict>
          <v:shape style="position:absolute;margin-left:9.663086pt;margin-top:1.830224pt;width:9.85pt;height:83.7pt;mso-position-horizontal-relative:page;mso-position-vertical-relative:paragraph;z-index:-254707712"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sz w:val="20"/>
        </w:rPr>
        <w:t>Ablage/Speicherung und Erhaltung, einschließlich Erhaltung der</w:t>
      </w:r>
      <w:r>
        <w:rPr>
          <w:spacing w:val="-5"/>
          <w:sz w:val="20"/>
        </w:rPr>
        <w:t> </w:t>
      </w:r>
      <w:r>
        <w:rPr>
          <w:sz w:val="20"/>
        </w:rPr>
        <w:t>Lesbarkeit;</w:t>
      </w:r>
    </w:p>
    <w:p>
      <w:pPr>
        <w:pStyle w:val="BodyText"/>
      </w:pPr>
    </w:p>
    <w:p>
      <w:pPr>
        <w:pStyle w:val="BodyText"/>
      </w:pPr>
    </w:p>
    <w:p>
      <w:pPr>
        <w:pStyle w:val="BodyText"/>
      </w:pPr>
    </w:p>
    <w:p>
      <w:pPr>
        <w:pStyle w:val="BodyText"/>
        <w:spacing w:before="4"/>
        <w:rPr>
          <w:sz w:val="22"/>
        </w:rPr>
      </w:pPr>
    </w:p>
    <w:p>
      <w:pPr>
        <w:spacing w:before="94"/>
        <w:ind w:left="476" w:right="0" w:firstLine="0"/>
        <w:jc w:val="left"/>
        <w:rPr>
          <w:b/>
          <w:sz w:val="22"/>
        </w:rPr>
      </w:pPr>
      <w:r>
        <w:rPr>
          <w:b/>
          <w:sz w:val="22"/>
        </w:rPr>
        <w:t>12</w:t>
      </w:r>
    </w:p>
    <w:p>
      <w:pPr>
        <w:spacing w:after="0"/>
        <w:jc w:val="left"/>
        <w:rPr>
          <w:sz w:val="22"/>
        </w:rPr>
        <w:sectPr>
          <w:headerReference w:type="even" r:id="rId31"/>
          <w:headerReference w:type="default" r:id="rId32"/>
          <w:footerReference w:type="even" r:id="rId33"/>
          <w:pgSz w:w="11910" w:h="16840"/>
          <w:pgMar w:header="710" w:footer="0" w:top="1540" w:bottom="280" w:left="260" w:right="540"/>
        </w:sectPr>
      </w:pPr>
    </w:p>
    <w:p>
      <w:pPr>
        <w:pStyle w:val="ListParagraph"/>
        <w:numPr>
          <w:ilvl w:val="0"/>
          <w:numId w:val="17"/>
        </w:numPr>
        <w:tabs>
          <w:tab w:pos="1556" w:val="left" w:leader="none"/>
          <w:tab w:pos="1557" w:val="left" w:leader="none"/>
        </w:tabs>
        <w:spacing w:line="240" w:lineRule="auto" w:before="97" w:after="0"/>
        <w:ind w:left="1556" w:right="0" w:hanging="401"/>
        <w:jc w:val="left"/>
        <w:rPr>
          <w:sz w:val="20"/>
        </w:rPr>
      </w:pPr>
      <w:r>
        <w:rPr>
          <w:sz w:val="20"/>
        </w:rPr>
        <w:t>Überwachung von Änderungen (z. B. Versionskontrolle);</w:t>
      </w:r>
      <w:r>
        <w:rPr>
          <w:spacing w:val="-1"/>
          <w:sz w:val="20"/>
        </w:rPr>
        <w:t> </w:t>
      </w:r>
      <w:r>
        <w:rPr>
          <w:sz w:val="20"/>
        </w:rPr>
        <w:t>und</w:t>
      </w:r>
    </w:p>
    <w:p>
      <w:pPr>
        <w:pStyle w:val="BodyText"/>
        <w:spacing w:before="11"/>
      </w:pPr>
    </w:p>
    <w:p>
      <w:pPr>
        <w:pStyle w:val="ListParagraph"/>
        <w:numPr>
          <w:ilvl w:val="0"/>
          <w:numId w:val="17"/>
        </w:numPr>
        <w:tabs>
          <w:tab w:pos="1556" w:val="left" w:leader="none"/>
          <w:tab w:pos="1557" w:val="left" w:leader="none"/>
        </w:tabs>
        <w:spacing w:line="240" w:lineRule="auto" w:before="0" w:after="0"/>
        <w:ind w:left="1556" w:right="0" w:hanging="401"/>
        <w:jc w:val="left"/>
        <w:rPr>
          <w:sz w:val="20"/>
        </w:rPr>
      </w:pPr>
      <w:r>
        <w:rPr>
          <w:sz w:val="20"/>
        </w:rPr>
        <w:t>Aufbewahrung und Verfügung über den weiteren</w:t>
      </w:r>
      <w:r>
        <w:rPr>
          <w:spacing w:val="-2"/>
          <w:sz w:val="20"/>
        </w:rPr>
        <w:t> </w:t>
      </w:r>
      <w:r>
        <w:rPr>
          <w:sz w:val="20"/>
        </w:rPr>
        <w:t>Verbleib.</w:t>
      </w:r>
    </w:p>
    <w:p>
      <w:pPr>
        <w:pStyle w:val="BodyText"/>
        <w:spacing w:before="10"/>
      </w:pPr>
    </w:p>
    <w:p>
      <w:pPr>
        <w:pStyle w:val="BodyText"/>
        <w:ind w:left="1155" w:right="198"/>
        <w:jc w:val="both"/>
      </w:pPr>
      <w:r>
        <w:rPr/>
        <w:t>Dokumentierte Information externer Herkunft, die von der Organisation als notwendig für Planung und Betrieb des Informationssicherheitsmanagementsystems bestimmt wurde, muss angemessen gekennzeichnet und gelenkt werden.</w:t>
      </w:r>
    </w:p>
    <w:p>
      <w:pPr>
        <w:pStyle w:val="BodyText"/>
        <w:spacing w:before="2"/>
        <w:rPr>
          <w:sz w:val="21"/>
        </w:rPr>
      </w:pPr>
    </w:p>
    <w:p>
      <w:pPr>
        <w:spacing w:line="244" w:lineRule="auto" w:before="0"/>
        <w:ind w:left="1156" w:right="195" w:firstLine="0"/>
        <w:jc w:val="both"/>
        <w:rPr>
          <w:sz w:val="18"/>
        </w:rPr>
      </w:pPr>
      <w:r>
        <w:rPr>
          <w:sz w:val="18"/>
        </w:rPr>
        <w:t>ANMERKUNG Zugriff kann eine Entscheidung voraussetzen, mit der die Erlaubnis erteilt  wird,  dokumentierte  Information</w:t>
      </w:r>
      <w:r>
        <w:rPr>
          <w:spacing w:val="-2"/>
          <w:sz w:val="18"/>
        </w:rPr>
        <w:t> </w:t>
      </w:r>
      <w:r>
        <w:rPr>
          <w:sz w:val="18"/>
        </w:rPr>
        <w:t>lediglich</w:t>
      </w:r>
      <w:r>
        <w:rPr>
          <w:spacing w:val="-1"/>
          <w:sz w:val="18"/>
        </w:rPr>
        <w:t> </w:t>
      </w:r>
      <w:r>
        <w:rPr>
          <w:sz w:val="18"/>
        </w:rPr>
        <w:t>zu</w:t>
      </w:r>
      <w:r>
        <w:rPr>
          <w:spacing w:val="-2"/>
          <w:sz w:val="18"/>
        </w:rPr>
        <w:t> </w:t>
      </w:r>
      <w:r>
        <w:rPr>
          <w:sz w:val="18"/>
        </w:rPr>
        <w:t>lesen,</w:t>
      </w:r>
      <w:r>
        <w:rPr>
          <w:spacing w:val="-4"/>
          <w:sz w:val="18"/>
        </w:rPr>
        <w:t> </w:t>
      </w:r>
      <w:r>
        <w:rPr>
          <w:sz w:val="18"/>
        </w:rPr>
        <w:t>oder</w:t>
      </w:r>
      <w:r>
        <w:rPr>
          <w:spacing w:val="-3"/>
          <w:sz w:val="18"/>
        </w:rPr>
        <w:t> </w:t>
      </w:r>
      <w:r>
        <w:rPr>
          <w:sz w:val="18"/>
        </w:rPr>
        <w:t>die</w:t>
      </w:r>
      <w:r>
        <w:rPr>
          <w:spacing w:val="-1"/>
          <w:sz w:val="18"/>
        </w:rPr>
        <w:t> </w:t>
      </w:r>
      <w:r>
        <w:rPr>
          <w:sz w:val="18"/>
        </w:rPr>
        <w:t>Erlaubnis</w:t>
      </w:r>
      <w:r>
        <w:rPr>
          <w:spacing w:val="-3"/>
          <w:sz w:val="18"/>
        </w:rPr>
        <w:t> </w:t>
      </w:r>
      <w:r>
        <w:rPr>
          <w:sz w:val="18"/>
        </w:rPr>
        <w:t>und</w:t>
      </w:r>
      <w:r>
        <w:rPr>
          <w:spacing w:val="-5"/>
          <w:sz w:val="18"/>
        </w:rPr>
        <w:t> </w:t>
      </w:r>
      <w:r>
        <w:rPr>
          <w:sz w:val="18"/>
        </w:rPr>
        <w:t>Befugnis</w:t>
      </w:r>
      <w:r>
        <w:rPr>
          <w:spacing w:val="-1"/>
          <w:sz w:val="18"/>
        </w:rPr>
        <w:t> </w:t>
      </w:r>
      <w:r>
        <w:rPr>
          <w:sz w:val="18"/>
        </w:rPr>
        <w:t>zum</w:t>
      </w:r>
      <w:r>
        <w:rPr>
          <w:spacing w:val="-4"/>
          <w:sz w:val="18"/>
        </w:rPr>
        <w:t> </w:t>
      </w:r>
      <w:r>
        <w:rPr>
          <w:sz w:val="18"/>
        </w:rPr>
        <w:t>Lesen</w:t>
      </w:r>
      <w:r>
        <w:rPr>
          <w:spacing w:val="-4"/>
          <w:sz w:val="18"/>
        </w:rPr>
        <w:t> </w:t>
      </w:r>
      <w:r>
        <w:rPr>
          <w:sz w:val="18"/>
        </w:rPr>
        <w:t>und</w:t>
      </w:r>
      <w:r>
        <w:rPr>
          <w:spacing w:val="-1"/>
          <w:sz w:val="18"/>
        </w:rPr>
        <w:t> </w:t>
      </w:r>
      <w:r>
        <w:rPr>
          <w:sz w:val="18"/>
        </w:rPr>
        <w:t>Ändern</w:t>
      </w:r>
      <w:r>
        <w:rPr>
          <w:spacing w:val="-5"/>
          <w:sz w:val="18"/>
        </w:rPr>
        <w:t> </w:t>
      </w:r>
      <w:r>
        <w:rPr>
          <w:sz w:val="18"/>
        </w:rPr>
        <w:t>dokumentierter</w:t>
      </w:r>
      <w:r>
        <w:rPr>
          <w:spacing w:val="-2"/>
          <w:sz w:val="18"/>
        </w:rPr>
        <w:t> </w:t>
      </w:r>
      <w:r>
        <w:rPr>
          <w:sz w:val="18"/>
        </w:rPr>
        <w:t>Information</w:t>
      </w:r>
      <w:r>
        <w:rPr>
          <w:spacing w:val="-2"/>
          <w:sz w:val="18"/>
        </w:rPr>
        <w:t> </w:t>
      </w:r>
      <w:r>
        <w:rPr>
          <w:sz w:val="18"/>
        </w:rPr>
        <w:t>usw.</w:t>
      </w:r>
    </w:p>
    <w:p>
      <w:pPr>
        <w:pStyle w:val="BodyText"/>
        <w:spacing w:before="5"/>
        <w:rPr>
          <w:sz w:val="22"/>
        </w:rPr>
      </w:pPr>
    </w:p>
    <w:p>
      <w:pPr>
        <w:pStyle w:val="ListParagraph"/>
        <w:numPr>
          <w:ilvl w:val="0"/>
          <w:numId w:val="2"/>
        </w:numPr>
        <w:tabs>
          <w:tab w:pos="1559" w:val="left" w:leader="none"/>
          <w:tab w:pos="1560" w:val="left" w:leader="none"/>
        </w:tabs>
        <w:spacing w:line="240" w:lineRule="auto" w:before="0" w:after="0"/>
        <w:ind w:left="1559" w:right="0" w:hanging="404"/>
        <w:jc w:val="left"/>
        <w:rPr>
          <w:b/>
          <w:sz w:val="24"/>
        </w:rPr>
      </w:pPr>
      <w:bookmarkStart w:name="8 Betrieb" w:id="91"/>
      <w:bookmarkEnd w:id="91"/>
      <w:r>
        <w:rPr/>
      </w:r>
      <w:bookmarkStart w:name="_bookmark26" w:id="92"/>
      <w:bookmarkEnd w:id="92"/>
      <w:r>
        <w:rPr/>
      </w:r>
      <w:bookmarkStart w:name="_bookmark26" w:id="93"/>
      <w:bookmarkEnd w:id="93"/>
      <w:r>
        <w:rPr>
          <w:b/>
          <w:sz w:val="24"/>
        </w:rPr>
        <w:t>B</w:t>
      </w:r>
      <w:r>
        <w:rPr>
          <w:b/>
          <w:sz w:val="24"/>
        </w:rPr>
        <w:t>etrieb</w:t>
      </w:r>
    </w:p>
    <w:p>
      <w:pPr>
        <w:pStyle w:val="BodyText"/>
        <w:spacing w:before="7"/>
        <w:rPr>
          <w:b/>
        </w:rPr>
      </w:pPr>
    </w:p>
    <w:p>
      <w:pPr>
        <w:pStyle w:val="ListParagraph"/>
        <w:numPr>
          <w:ilvl w:val="1"/>
          <w:numId w:val="2"/>
        </w:numPr>
        <w:tabs>
          <w:tab w:pos="1655" w:val="left" w:leader="none"/>
        </w:tabs>
        <w:spacing w:line="240" w:lineRule="auto" w:before="1" w:after="0"/>
        <w:ind w:left="1655" w:right="0" w:hanging="499"/>
        <w:jc w:val="left"/>
        <w:rPr>
          <w:b/>
          <w:sz w:val="22"/>
        </w:rPr>
      </w:pPr>
      <w:bookmarkStart w:name="8.1 Betriebliche Planung und Steuerung" w:id="94"/>
      <w:bookmarkEnd w:id="94"/>
      <w:r>
        <w:rPr/>
      </w:r>
      <w:bookmarkStart w:name="_bookmark27" w:id="95"/>
      <w:bookmarkEnd w:id="95"/>
      <w:r>
        <w:rPr/>
      </w:r>
      <w:bookmarkStart w:name="_bookmark27" w:id="96"/>
      <w:bookmarkEnd w:id="96"/>
      <w:r>
        <w:rPr>
          <w:b/>
          <w:sz w:val="22"/>
        </w:rPr>
        <w:t>B</w:t>
      </w:r>
      <w:r>
        <w:rPr>
          <w:b/>
          <w:sz w:val="22"/>
        </w:rPr>
        <w:t>etriebliche Planung und</w:t>
      </w:r>
      <w:r>
        <w:rPr>
          <w:b/>
          <w:spacing w:val="-4"/>
          <w:sz w:val="22"/>
        </w:rPr>
        <w:t> </w:t>
      </w:r>
      <w:r>
        <w:rPr>
          <w:b/>
          <w:sz w:val="22"/>
        </w:rPr>
        <w:t>Steuerung</w:t>
      </w:r>
    </w:p>
    <w:p>
      <w:pPr>
        <w:pStyle w:val="BodyText"/>
        <w:spacing w:before="8"/>
        <w:rPr>
          <w:b/>
        </w:rPr>
      </w:pPr>
    </w:p>
    <w:p>
      <w:pPr>
        <w:pStyle w:val="BodyText"/>
        <w:ind w:left="1156" w:right="198"/>
        <w:jc w:val="both"/>
      </w:pPr>
      <w:r>
        <w:rPr/>
        <w:t>Die Organisation muss die Prozesse zur Erfüllung der Informationssicherheitsanforderungen und zur Durchführung der unter 6.1 bestimmten Maßnahmen planen, verwirklichen und steuern. Die Organisation muss darüber hinaus Pläne verwirklichen, um die in 6.2 bestimmten Informationssicherheitsziele zu erreichen.</w:t>
      </w:r>
    </w:p>
    <w:p>
      <w:pPr>
        <w:pStyle w:val="BodyText"/>
        <w:rPr>
          <w:sz w:val="21"/>
        </w:rPr>
      </w:pPr>
    </w:p>
    <w:p>
      <w:pPr>
        <w:pStyle w:val="BodyText"/>
        <w:ind w:left="1155" w:right="198"/>
        <w:jc w:val="both"/>
      </w:pPr>
      <w:r>
        <w:rPr/>
        <w:t>Die Organisation muss dokumentierte Information im notwendigen Umfang aufbewahren, so dass darauf vertraut werden kann, dass die Prozesse wie geplant umgesetzt wurden.</w:t>
      </w:r>
    </w:p>
    <w:p>
      <w:pPr>
        <w:pStyle w:val="BodyText"/>
        <w:spacing w:before="8"/>
      </w:pPr>
    </w:p>
    <w:p>
      <w:pPr>
        <w:pStyle w:val="BodyText"/>
        <w:ind w:left="1155" w:right="200"/>
        <w:jc w:val="both"/>
      </w:pPr>
      <w:r>
        <w:rPr/>
        <w:t>Die Organisation muss geplante Änderungen überwachen sowie die Folgen unbeabsichtigter Änderungen beurteilen und, falls notwendig, Maßnahmen ergreifen, um jegliche negativen Auswirkungen zu vermindern.</w:t>
      </w:r>
    </w:p>
    <w:p>
      <w:pPr>
        <w:pStyle w:val="BodyText"/>
        <w:rPr>
          <w:sz w:val="21"/>
        </w:rPr>
      </w:pPr>
    </w:p>
    <w:p>
      <w:pPr>
        <w:pStyle w:val="BodyText"/>
        <w:ind w:left="1155"/>
        <w:jc w:val="both"/>
      </w:pPr>
      <w:r>
        <w:rPr/>
        <w:t>Die Organisation muss sicherstellen, dass ausgegliederte Prozesse bestimmt und gesteuert werden.</w:t>
      </w:r>
    </w:p>
    <w:p>
      <w:pPr>
        <w:pStyle w:val="BodyText"/>
        <w:spacing w:before="8"/>
      </w:pPr>
    </w:p>
    <w:p>
      <w:pPr>
        <w:pStyle w:val="ListParagraph"/>
        <w:numPr>
          <w:ilvl w:val="1"/>
          <w:numId w:val="2"/>
        </w:numPr>
        <w:tabs>
          <w:tab w:pos="1655" w:val="left" w:leader="none"/>
        </w:tabs>
        <w:spacing w:line="240" w:lineRule="auto" w:before="0" w:after="0"/>
        <w:ind w:left="1655" w:right="0" w:hanging="499"/>
        <w:jc w:val="left"/>
        <w:rPr>
          <w:b/>
          <w:sz w:val="22"/>
        </w:rPr>
      </w:pPr>
      <w:bookmarkStart w:name="8.2 Informationssicherheitsrisikobeurtei" w:id="97"/>
      <w:bookmarkEnd w:id="97"/>
      <w:r>
        <w:rPr/>
      </w:r>
      <w:bookmarkStart w:name="_bookmark28" w:id="98"/>
      <w:bookmarkEnd w:id="98"/>
      <w:r>
        <w:rPr/>
      </w:r>
      <w:bookmarkStart w:name="_bookmark28" w:id="99"/>
      <w:bookmarkEnd w:id="99"/>
      <w:r>
        <w:rPr>
          <w:b/>
          <w:sz w:val="22"/>
        </w:rPr>
        <w:t>I</w:t>
      </w:r>
      <w:r>
        <w:rPr>
          <w:b/>
          <w:sz w:val="22"/>
        </w:rPr>
        <w:t>nformationssicherheitsrisikobeurteilung</w:t>
      </w:r>
    </w:p>
    <w:p>
      <w:pPr>
        <w:pStyle w:val="BodyText"/>
        <w:spacing w:before="9"/>
        <w:rPr>
          <w:b/>
        </w:rPr>
      </w:pPr>
    </w:p>
    <w:p>
      <w:pPr>
        <w:pStyle w:val="BodyText"/>
        <w:ind w:left="1156" w:right="197"/>
        <w:jc w:val="both"/>
      </w:pPr>
      <w:r>
        <w:rPr/>
        <w:t>Die Organisation muss in geplanten Abständen Informationssicherheitsrisikobeurteilungen vornehmen oder immer dann, wenn erhebliche Änderungen vorgeschlagen werden oder auftreten. Dabei sind die in 6.1.2 a) festgelegten Kriterien zu berücksichtigen.</w:t>
      </w:r>
    </w:p>
    <w:p>
      <w:pPr>
        <w:pStyle w:val="BodyText"/>
        <w:spacing w:before="11"/>
      </w:pPr>
    </w:p>
    <w:p>
      <w:pPr>
        <w:pStyle w:val="BodyText"/>
        <w:ind w:left="1156" w:right="199"/>
        <w:jc w:val="both"/>
      </w:pPr>
      <w:r>
        <w:rPr/>
        <w:t>Die Organisation muss dokumentierte Information über die Ergebnisse der Informationssicherheitsrisikobeurteilungen aufbewahren.</w:t>
      </w:r>
    </w:p>
    <w:p>
      <w:pPr>
        <w:pStyle w:val="BodyText"/>
        <w:spacing w:before="6"/>
      </w:pPr>
    </w:p>
    <w:p>
      <w:pPr>
        <w:pStyle w:val="ListParagraph"/>
        <w:numPr>
          <w:ilvl w:val="1"/>
          <w:numId w:val="2"/>
        </w:numPr>
        <w:tabs>
          <w:tab w:pos="1655" w:val="left" w:leader="none"/>
        </w:tabs>
        <w:spacing w:line="240" w:lineRule="auto" w:before="1" w:after="0"/>
        <w:ind w:left="1655" w:right="0" w:hanging="499"/>
        <w:jc w:val="left"/>
        <w:rPr>
          <w:b/>
          <w:sz w:val="22"/>
        </w:rPr>
      </w:pPr>
      <w:bookmarkStart w:name="8.3 Informationssicherheitsrisikobehandl" w:id="100"/>
      <w:bookmarkEnd w:id="100"/>
      <w:r>
        <w:rPr/>
      </w:r>
      <w:bookmarkStart w:name="_bookmark29" w:id="101"/>
      <w:bookmarkEnd w:id="101"/>
      <w:r>
        <w:rPr/>
      </w:r>
      <w:bookmarkStart w:name="_bookmark29" w:id="102"/>
      <w:bookmarkEnd w:id="102"/>
      <w:r>
        <w:rPr>
          <w:b/>
          <w:sz w:val="22"/>
        </w:rPr>
        <w:t>I</w:t>
      </w:r>
      <w:r>
        <w:rPr>
          <w:b/>
          <w:sz w:val="22"/>
        </w:rPr>
        <w:t>nformationssicherheitsrisikobehandlung</w:t>
      </w:r>
    </w:p>
    <w:p>
      <w:pPr>
        <w:pStyle w:val="BodyText"/>
        <w:spacing w:before="8"/>
        <w:rPr>
          <w:b/>
        </w:rPr>
      </w:pPr>
    </w:p>
    <w:p>
      <w:pPr>
        <w:pStyle w:val="BodyText"/>
        <w:ind w:left="1156"/>
        <w:jc w:val="both"/>
      </w:pPr>
      <w:r>
        <w:rPr/>
        <w:t>Die Organisation muss den Plan für die Informationssicherheitsrisikobehandlung umsetzen.</w:t>
      </w:r>
    </w:p>
    <w:p>
      <w:pPr>
        <w:pStyle w:val="BodyText"/>
        <w:spacing w:before="10"/>
      </w:pPr>
    </w:p>
    <w:p>
      <w:pPr>
        <w:pStyle w:val="BodyText"/>
        <w:spacing w:before="1"/>
        <w:ind w:left="1156" w:right="201"/>
        <w:jc w:val="both"/>
      </w:pPr>
      <w:r>
        <w:rPr/>
        <w:t>Die Organisation muss dokumentierte Information über die Ergebnisse der Informationssicherheitsrisikobehandlung aufbewahren.</w:t>
      </w:r>
    </w:p>
    <w:p>
      <w:pPr>
        <w:pStyle w:val="BodyText"/>
        <w:spacing w:before="1"/>
        <w:rPr>
          <w:sz w:val="23"/>
        </w:rPr>
      </w:pPr>
    </w:p>
    <w:p>
      <w:pPr>
        <w:pStyle w:val="ListParagraph"/>
        <w:numPr>
          <w:ilvl w:val="0"/>
          <w:numId w:val="2"/>
        </w:numPr>
        <w:tabs>
          <w:tab w:pos="1559" w:val="left" w:leader="none"/>
          <w:tab w:pos="1560" w:val="left" w:leader="none"/>
        </w:tabs>
        <w:spacing w:line="240" w:lineRule="auto" w:before="0" w:after="0"/>
        <w:ind w:left="1559" w:right="0" w:hanging="404"/>
        <w:jc w:val="left"/>
        <w:rPr>
          <w:b/>
          <w:sz w:val="24"/>
        </w:rPr>
      </w:pPr>
      <w:bookmarkStart w:name="9 Bewertung der Leistung" w:id="103"/>
      <w:bookmarkEnd w:id="103"/>
      <w:r>
        <w:rPr/>
      </w:r>
      <w:bookmarkStart w:name="_bookmark30" w:id="104"/>
      <w:bookmarkEnd w:id="104"/>
      <w:r>
        <w:rPr/>
      </w:r>
      <w:bookmarkStart w:name="_bookmark30" w:id="105"/>
      <w:bookmarkEnd w:id="105"/>
      <w:r>
        <w:rPr>
          <w:b/>
          <w:sz w:val="24"/>
        </w:rPr>
        <w:t>B</w:t>
      </w:r>
      <w:r>
        <w:rPr>
          <w:b/>
          <w:sz w:val="24"/>
        </w:rPr>
        <w:t>ewertung der</w:t>
      </w:r>
      <w:r>
        <w:rPr>
          <w:b/>
          <w:spacing w:val="-1"/>
          <w:sz w:val="24"/>
        </w:rPr>
        <w:t> </w:t>
      </w:r>
      <w:r>
        <w:rPr>
          <w:b/>
          <w:sz w:val="24"/>
        </w:rPr>
        <w:t>Leistung</w:t>
      </w:r>
    </w:p>
    <w:p>
      <w:pPr>
        <w:pStyle w:val="BodyText"/>
        <w:spacing w:before="7"/>
        <w:rPr>
          <w:b/>
        </w:rPr>
      </w:pPr>
    </w:p>
    <w:p>
      <w:pPr>
        <w:pStyle w:val="ListParagraph"/>
        <w:numPr>
          <w:ilvl w:val="1"/>
          <w:numId w:val="2"/>
        </w:numPr>
        <w:tabs>
          <w:tab w:pos="1655" w:val="left" w:leader="none"/>
        </w:tabs>
        <w:spacing w:line="240" w:lineRule="auto" w:before="0" w:after="0"/>
        <w:ind w:left="1655" w:right="0" w:hanging="499"/>
        <w:jc w:val="left"/>
        <w:rPr>
          <w:b/>
          <w:sz w:val="22"/>
        </w:rPr>
      </w:pPr>
      <w:bookmarkStart w:name="9.1 Überwachung, Messung, Analyse und Be" w:id="106"/>
      <w:bookmarkEnd w:id="106"/>
      <w:r>
        <w:rPr/>
      </w:r>
      <w:bookmarkStart w:name="_bookmark31" w:id="107"/>
      <w:bookmarkEnd w:id="107"/>
      <w:r>
        <w:rPr/>
      </w:r>
      <w:bookmarkStart w:name="_bookmark31" w:id="108"/>
      <w:bookmarkEnd w:id="108"/>
      <w:r>
        <w:rPr>
          <w:b/>
          <w:sz w:val="22"/>
        </w:rPr>
        <w:t>Ü</w:t>
      </w:r>
      <w:r>
        <w:rPr>
          <w:b/>
          <w:sz w:val="22"/>
        </w:rPr>
        <w:t>berwachung, Messung, Analyse und Bewertung</w:t>
      </w:r>
    </w:p>
    <w:p>
      <w:pPr>
        <w:pStyle w:val="BodyText"/>
        <w:spacing w:before="9"/>
        <w:rPr>
          <w:b/>
        </w:rPr>
      </w:pPr>
    </w:p>
    <w:p>
      <w:pPr>
        <w:pStyle w:val="BodyText"/>
        <w:ind w:left="1156" w:right="197"/>
        <w:jc w:val="both"/>
      </w:pPr>
      <w:r>
        <w:rPr/>
        <w:t>Die Organisation muss die Informationssicherheitsleistung und die Wirksamkeit des Informationssicherheitsmanagementsystems bewerten.</w:t>
      </w:r>
    </w:p>
    <w:p>
      <w:pPr>
        <w:pStyle w:val="BodyText"/>
        <w:spacing w:before="10"/>
      </w:pPr>
    </w:p>
    <w:p>
      <w:pPr>
        <w:pStyle w:val="BodyText"/>
        <w:spacing w:before="1"/>
        <w:ind w:left="1156"/>
        <w:jc w:val="both"/>
      </w:pPr>
      <w:r>
        <w:rPr/>
        <w:t>Die Organisation muss bestimmen:</w:t>
      </w:r>
    </w:p>
    <w:p>
      <w:pPr>
        <w:pStyle w:val="BodyText"/>
        <w:spacing w:before="10"/>
      </w:pPr>
    </w:p>
    <w:p>
      <w:pPr>
        <w:pStyle w:val="ListParagraph"/>
        <w:numPr>
          <w:ilvl w:val="0"/>
          <w:numId w:val="18"/>
        </w:numPr>
        <w:tabs>
          <w:tab w:pos="1556" w:val="left" w:leader="none"/>
          <w:tab w:pos="1557" w:val="left" w:leader="none"/>
        </w:tabs>
        <w:spacing w:line="240" w:lineRule="auto" w:before="0" w:after="0"/>
        <w:ind w:left="1556" w:right="202" w:hanging="401"/>
        <w:jc w:val="left"/>
        <w:rPr>
          <w:sz w:val="20"/>
        </w:rPr>
      </w:pPr>
      <w:r>
        <w:rPr>
          <w:sz w:val="20"/>
        </w:rPr>
        <w:t>was überwacht und gemessen werden muss, einschließlich der Informationssicherheitsprozesse und Maßnahmen;</w:t>
      </w:r>
    </w:p>
    <w:p>
      <w:pPr>
        <w:pStyle w:val="BodyText"/>
        <w:spacing w:before="8"/>
      </w:pPr>
    </w:p>
    <w:p>
      <w:pPr>
        <w:pStyle w:val="ListParagraph"/>
        <w:numPr>
          <w:ilvl w:val="0"/>
          <w:numId w:val="18"/>
        </w:numPr>
        <w:tabs>
          <w:tab w:pos="1556" w:val="left" w:leader="none"/>
          <w:tab w:pos="1557" w:val="left" w:leader="none"/>
        </w:tabs>
        <w:spacing w:line="240" w:lineRule="auto" w:before="0" w:after="0"/>
        <w:ind w:left="1556" w:right="203" w:hanging="401"/>
        <w:jc w:val="left"/>
        <w:rPr>
          <w:sz w:val="20"/>
        </w:rPr>
      </w:pPr>
      <w:r>
        <w:rPr/>
        <w:pict>
          <v:shape style="position:absolute;margin-left:9.663086pt;margin-top:5.215824pt;width:9.85pt;height:83.7pt;mso-position-horizontal-relative:page;mso-position-vertical-relative:paragraph;z-index:-254706688"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sz w:val="20"/>
        </w:rPr>
        <w:t>die Methoden zur Überwachung, Messung, Analyse und Bewertung, sofern zutreffend, um gültige Ergebnisse</w:t>
      </w:r>
      <w:r>
        <w:rPr>
          <w:spacing w:val="-2"/>
          <w:sz w:val="20"/>
        </w:rPr>
        <w:t> </w:t>
      </w:r>
      <w:r>
        <w:rPr>
          <w:sz w:val="20"/>
        </w:rPr>
        <w:t>sicherzustellen;</w:t>
      </w:r>
    </w:p>
    <w:p>
      <w:pPr>
        <w:pStyle w:val="BodyText"/>
      </w:pPr>
    </w:p>
    <w:p>
      <w:pPr>
        <w:pStyle w:val="BodyText"/>
      </w:pPr>
    </w:p>
    <w:p>
      <w:pPr>
        <w:pStyle w:val="BodyText"/>
        <w:spacing w:before="5"/>
        <w:rPr>
          <w:sz w:val="28"/>
        </w:rPr>
      </w:pPr>
    </w:p>
    <w:p>
      <w:pPr>
        <w:spacing w:before="93"/>
        <w:ind w:left="0" w:right="197" w:firstLine="0"/>
        <w:jc w:val="right"/>
        <w:rPr>
          <w:b/>
          <w:sz w:val="22"/>
        </w:rPr>
      </w:pPr>
      <w:r>
        <w:rPr>
          <w:b/>
          <w:sz w:val="22"/>
        </w:rPr>
        <w:t>13</w:t>
      </w:r>
    </w:p>
    <w:p>
      <w:pPr>
        <w:spacing w:after="0"/>
        <w:jc w:val="right"/>
        <w:rPr>
          <w:sz w:val="22"/>
        </w:rPr>
        <w:sectPr>
          <w:headerReference w:type="default" r:id="rId34"/>
          <w:headerReference w:type="even" r:id="rId35"/>
          <w:footerReference w:type="default" r:id="rId36"/>
          <w:pgSz w:w="11910" w:h="16840"/>
          <w:pgMar w:header="710" w:footer="0" w:top="1540" w:bottom="280" w:left="260" w:right="540"/>
        </w:sectPr>
      </w:pPr>
    </w:p>
    <w:p>
      <w:pPr>
        <w:pStyle w:val="BodyText"/>
        <w:rPr>
          <w:b/>
        </w:rPr>
      </w:pPr>
    </w:p>
    <w:p>
      <w:pPr>
        <w:pStyle w:val="BodyText"/>
        <w:spacing w:before="6"/>
        <w:rPr>
          <w:b/>
          <w:sz w:val="21"/>
        </w:rPr>
      </w:pPr>
    </w:p>
    <w:p>
      <w:pPr>
        <w:tabs>
          <w:tab w:pos="1916" w:val="left" w:leader="none"/>
        </w:tabs>
        <w:spacing w:before="95"/>
        <w:ind w:left="476" w:right="874" w:firstLine="0"/>
        <w:jc w:val="left"/>
        <w:rPr>
          <w:sz w:val="18"/>
        </w:rPr>
      </w:pPr>
      <w:r>
        <w:rPr>
          <w:sz w:val="18"/>
        </w:rPr>
        <w:t>ANMERKUNG</w:t>
        <w:tab/>
        <w:t>Die ausgewählten Methoden sollten zu vergleichbaren und reproduzierbaren Ergebnissen führen, damit sie als gültig zu betrachten</w:t>
      </w:r>
      <w:r>
        <w:rPr>
          <w:spacing w:val="-7"/>
          <w:sz w:val="18"/>
        </w:rPr>
        <w:t> </w:t>
      </w:r>
      <w:r>
        <w:rPr>
          <w:sz w:val="18"/>
        </w:rPr>
        <w:t>sind.</w:t>
      </w:r>
    </w:p>
    <w:p>
      <w:pPr>
        <w:pStyle w:val="BodyText"/>
        <w:rPr>
          <w:sz w:val="21"/>
        </w:rPr>
      </w:pPr>
    </w:p>
    <w:p>
      <w:pPr>
        <w:pStyle w:val="ListParagraph"/>
        <w:numPr>
          <w:ilvl w:val="0"/>
          <w:numId w:val="18"/>
        </w:numPr>
        <w:tabs>
          <w:tab w:pos="877" w:val="left" w:leader="none"/>
          <w:tab w:pos="878" w:val="left" w:leader="none"/>
        </w:tabs>
        <w:spacing w:line="240" w:lineRule="auto" w:before="0" w:after="0"/>
        <w:ind w:left="877" w:right="0" w:hanging="402"/>
        <w:jc w:val="left"/>
        <w:rPr>
          <w:sz w:val="20"/>
        </w:rPr>
      </w:pPr>
      <w:r>
        <w:rPr>
          <w:sz w:val="20"/>
        </w:rPr>
        <w:t>wann die Überwachung und Messung durchzuführen</w:t>
      </w:r>
      <w:r>
        <w:rPr>
          <w:spacing w:val="-4"/>
          <w:sz w:val="20"/>
        </w:rPr>
        <w:t> </w:t>
      </w:r>
      <w:r>
        <w:rPr>
          <w:sz w:val="20"/>
        </w:rPr>
        <w:t>ist;</w:t>
      </w:r>
    </w:p>
    <w:p>
      <w:pPr>
        <w:pStyle w:val="BodyText"/>
        <w:spacing w:before="10"/>
      </w:pPr>
    </w:p>
    <w:p>
      <w:pPr>
        <w:pStyle w:val="ListParagraph"/>
        <w:numPr>
          <w:ilvl w:val="0"/>
          <w:numId w:val="18"/>
        </w:numPr>
        <w:tabs>
          <w:tab w:pos="877" w:val="left" w:leader="none"/>
          <w:tab w:pos="878" w:val="left" w:leader="none"/>
        </w:tabs>
        <w:spacing w:line="240" w:lineRule="auto" w:before="0" w:after="0"/>
        <w:ind w:left="877" w:right="0" w:hanging="402"/>
        <w:jc w:val="left"/>
        <w:rPr>
          <w:sz w:val="20"/>
        </w:rPr>
      </w:pPr>
      <w:r>
        <w:rPr>
          <w:sz w:val="20"/>
        </w:rPr>
        <w:t>wer überwachen und messen</w:t>
      </w:r>
      <w:r>
        <w:rPr>
          <w:spacing w:val="-2"/>
          <w:sz w:val="20"/>
        </w:rPr>
        <w:t> </w:t>
      </w:r>
      <w:r>
        <w:rPr>
          <w:sz w:val="20"/>
        </w:rPr>
        <w:t>muss;</w:t>
      </w:r>
    </w:p>
    <w:p>
      <w:pPr>
        <w:pStyle w:val="BodyText"/>
        <w:spacing w:before="8"/>
      </w:pPr>
    </w:p>
    <w:p>
      <w:pPr>
        <w:pStyle w:val="ListParagraph"/>
        <w:numPr>
          <w:ilvl w:val="0"/>
          <w:numId w:val="18"/>
        </w:numPr>
        <w:tabs>
          <w:tab w:pos="877" w:val="left" w:leader="none"/>
          <w:tab w:pos="878" w:val="left" w:leader="none"/>
        </w:tabs>
        <w:spacing w:line="240" w:lineRule="auto" w:before="0" w:after="0"/>
        <w:ind w:left="877" w:right="0" w:hanging="402"/>
        <w:jc w:val="left"/>
        <w:rPr>
          <w:sz w:val="20"/>
        </w:rPr>
      </w:pPr>
      <w:r>
        <w:rPr>
          <w:sz w:val="20"/>
        </w:rPr>
        <w:t>wann die Ergebnisse der Überwachung und Messung zu analysieren und zu bewerten sind;</w:t>
      </w:r>
      <w:r>
        <w:rPr>
          <w:spacing w:val="-11"/>
          <w:sz w:val="20"/>
        </w:rPr>
        <w:t> </w:t>
      </w:r>
      <w:r>
        <w:rPr>
          <w:sz w:val="20"/>
        </w:rPr>
        <w:t>und</w:t>
      </w:r>
    </w:p>
    <w:p>
      <w:pPr>
        <w:pStyle w:val="BodyText"/>
        <w:spacing w:before="10"/>
      </w:pPr>
    </w:p>
    <w:p>
      <w:pPr>
        <w:pStyle w:val="ListParagraph"/>
        <w:numPr>
          <w:ilvl w:val="0"/>
          <w:numId w:val="18"/>
        </w:numPr>
        <w:tabs>
          <w:tab w:pos="877" w:val="left" w:leader="none"/>
          <w:tab w:pos="878" w:val="left" w:leader="none"/>
        </w:tabs>
        <w:spacing w:line="240" w:lineRule="auto" w:before="1" w:after="0"/>
        <w:ind w:left="877" w:right="0" w:hanging="402"/>
        <w:jc w:val="left"/>
        <w:rPr>
          <w:sz w:val="20"/>
        </w:rPr>
      </w:pPr>
      <w:r>
        <w:rPr>
          <w:sz w:val="20"/>
        </w:rPr>
        <w:t>wer diese Ergebnisse analysieren und bewerten</w:t>
      </w:r>
      <w:r>
        <w:rPr>
          <w:spacing w:val="-5"/>
          <w:sz w:val="20"/>
        </w:rPr>
        <w:t> </w:t>
      </w:r>
      <w:r>
        <w:rPr>
          <w:sz w:val="20"/>
        </w:rPr>
        <w:t>muss.</w:t>
      </w:r>
    </w:p>
    <w:p>
      <w:pPr>
        <w:pStyle w:val="BodyText"/>
        <w:spacing w:before="10"/>
      </w:pPr>
    </w:p>
    <w:p>
      <w:pPr>
        <w:pStyle w:val="BodyText"/>
        <w:ind w:left="476"/>
      </w:pPr>
      <w:r>
        <w:rPr/>
        <w:t>Die Organisation muss geeignete dokumentierte Information als Nachweis der Ergebnisse aufbewahren.</w:t>
      </w:r>
    </w:p>
    <w:p>
      <w:pPr>
        <w:pStyle w:val="BodyText"/>
        <w:spacing w:before="9"/>
      </w:pPr>
    </w:p>
    <w:p>
      <w:pPr>
        <w:pStyle w:val="ListParagraph"/>
        <w:numPr>
          <w:ilvl w:val="1"/>
          <w:numId w:val="2"/>
        </w:numPr>
        <w:tabs>
          <w:tab w:pos="976" w:val="left" w:leader="none"/>
        </w:tabs>
        <w:spacing w:line="240" w:lineRule="auto" w:before="0" w:after="0"/>
        <w:ind w:left="975" w:right="0" w:hanging="500"/>
        <w:jc w:val="left"/>
        <w:rPr>
          <w:b/>
          <w:sz w:val="22"/>
        </w:rPr>
      </w:pPr>
      <w:bookmarkStart w:name="9.2 Internes Audit" w:id="109"/>
      <w:bookmarkEnd w:id="109"/>
      <w:r>
        <w:rPr/>
      </w:r>
      <w:bookmarkStart w:name="_bookmark32" w:id="110"/>
      <w:bookmarkEnd w:id="110"/>
      <w:r>
        <w:rPr/>
      </w:r>
      <w:bookmarkStart w:name="_bookmark32" w:id="111"/>
      <w:bookmarkEnd w:id="111"/>
      <w:r>
        <w:rPr>
          <w:b/>
          <w:sz w:val="22"/>
        </w:rPr>
        <w:t>I</w:t>
      </w:r>
      <w:r>
        <w:rPr>
          <w:b/>
          <w:sz w:val="22"/>
        </w:rPr>
        <w:t>nternes</w:t>
      </w:r>
      <w:r>
        <w:rPr>
          <w:b/>
          <w:spacing w:val="-1"/>
          <w:sz w:val="22"/>
        </w:rPr>
        <w:t> </w:t>
      </w:r>
      <w:r>
        <w:rPr>
          <w:b/>
          <w:sz w:val="22"/>
        </w:rPr>
        <w:t>Audit</w:t>
      </w:r>
    </w:p>
    <w:p>
      <w:pPr>
        <w:pStyle w:val="BodyText"/>
        <w:spacing w:before="8"/>
        <w:rPr>
          <w:b/>
        </w:rPr>
      </w:pPr>
    </w:p>
    <w:p>
      <w:pPr>
        <w:pStyle w:val="BodyText"/>
        <w:ind w:left="476" w:right="917"/>
      </w:pPr>
      <w:r>
        <w:rPr/>
        <w:t>Die Organisation muss in geplanten Abständen interne Audits durchführen, um Informationen darüber zu erhalten, ob das Informationssicherheitsmanagementsystem:</w:t>
      </w:r>
    </w:p>
    <w:p>
      <w:pPr>
        <w:pStyle w:val="BodyText"/>
        <w:rPr>
          <w:sz w:val="21"/>
        </w:rPr>
      </w:pPr>
    </w:p>
    <w:p>
      <w:pPr>
        <w:pStyle w:val="ListParagraph"/>
        <w:numPr>
          <w:ilvl w:val="0"/>
          <w:numId w:val="19"/>
        </w:numPr>
        <w:tabs>
          <w:tab w:pos="877" w:val="left" w:leader="none"/>
          <w:tab w:pos="878" w:val="left" w:leader="none"/>
        </w:tabs>
        <w:spacing w:line="240" w:lineRule="auto" w:before="0" w:after="0"/>
        <w:ind w:left="877" w:right="0" w:hanging="402"/>
        <w:jc w:val="left"/>
        <w:rPr>
          <w:sz w:val="20"/>
        </w:rPr>
      </w:pPr>
      <w:r>
        <w:rPr>
          <w:sz w:val="20"/>
        </w:rPr>
        <w:t>die Anforderungen</w:t>
      </w:r>
    </w:p>
    <w:p>
      <w:pPr>
        <w:pStyle w:val="BodyText"/>
        <w:spacing w:before="10"/>
      </w:pPr>
    </w:p>
    <w:p>
      <w:pPr>
        <w:pStyle w:val="ListParagraph"/>
        <w:numPr>
          <w:ilvl w:val="1"/>
          <w:numId w:val="19"/>
        </w:numPr>
        <w:tabs>
          <w:tab w:pos="1275" w:val="left" w:leader="none"/>
          <w:tab w:pos="1276" w:val="left" w:leader="none"/>
        </w:tabs>
        <w:spacing w:line="240" w:lineRule="auto" w:before="0" w:after="0"/>
        <w:ind w:left="1276" w:right="0" w:hanging="399"/>
        <w:jc w:val="left"/>
        <w:rPr>
          <w:sz w:val="20"/>
        </w:rPr>
      </w:pPr>
      <w:r>
        <w:rPr>
          <w:sz w:val="20"/>
        </w:rPr>
        <w:t>der Organisation an ihr Informationssicherheitsmanagementsystem;</w:t>
      </w:r>
      <w:r>
        <w:rPr>
          <w:spacing w:val="-1"/>
          <w:sz w:val="20"/>
        </w:rPr>
        <w:t> </w:t>
      </w:r>
      <w:r>
        <w:rPr>
          <w:sz w:val="20"/>
        </w:rPr>
        <w:t>und</w:t>
      </w:r>
    </w:p>
    <w:p>
      <w:pPr>
        <w:pStyle w:val="BodyText"/>
        <w:spacing w:before="8"/>
      </w:pPr>
    </w:p>
    <w:p>
      <w:pPr>
        <w:pStyle w:val="ListParagraph"/>
        <w:numPr>
          <w:ilvl w:val="1"/>
          <w:numId w:val="19"/>
        </w:numPr>
        <w:tabs>
          <w:tab w:pos="1275" w:val="left" w:leader="none"/>
          <w:tab w:pos="1276" w:val="left" w:leader="none"/>
        </w:tabs>
        <w:spacing w:line="491" w:lineRule="auto" w:before="0" w:after="0"/>
        <w:ind w:left="877" w:right="7361" w:firstLine="0"/>
        <w:jc w:val="left"/>
        <w:rPr>
          <w:sz w:val="20"/>
        </w:rPr>
      </w:pPr>
      <w:r>
        <w:rPr>
          <w:sz w:val="20"/>
        </w:rPr>
        <w:t>dieser Internationalen Norm erfüllt;</w:t>
      </w:r>
    </w:p>
    <w:p>
      <w:pPr>
        <w:pStyle w:val="ListParagraph"/>
        <w:numPr>
          <w:ilvl w:val="0"/>
          <w:numId w:val="19"/>
        </w:numPr>
        <w:tabs>
          <w:tab w:pos="837" w:val="left" w:leader="none"/>
        </w:tabs>
        <w:spacing w:line="228" w:lineRule="exact" w:before="0" w:after="0"/>
        <w:ind w:left="836" w:right="0" w:hanging="361"/>
        <w:jc w:val="left"/>
        <w:rPr>
          <w:sz w:val="20"/>
        </w:rPr>
      </w:pPr>
      <w:r>
        <w:rPr>
          <w:sz w:val="20"/>
        </w:rPr>
        <w:t>wirksam verwirklicht und aufrechterhalten</w:t>
      </w:r>
      <w:r>
        <w:rPr>
          <w:spacing w:val="3"/>
          <w:sz w:val="20"/>
        </w:rPr>
        <w:t> </w:t>
      </w:r>
      <w:r>
        <w:rPr>
          <w:sz w:val="20"/>
        </w:rPr>
        <w:t>wird.</w:t>
      </w:r>
    </w:p>
    <w:p>
      <w:pPr>
        <w:pStyle w:val="BodyText"/>
        <w:spacing w:before="10"/>
      </w:pPr>
    </w:p>
    <w:p>
      <w:pPr>
        <w:pStyle w:val="BodyText"/>
        <w:ind w:left="476"/>
      </w:pPr>
      <w:r>
        <w:rPr/>
        <w:t>Die Organisation muss:</w:t>
      </w:r>
    </w:p>
    <w:p>
      <w:pPr>
        <w:pStyle w:val="BodyText"/>
        <w:spacing w:before="11"/>
      </w:pPr>
    </w:p>
    <w:p>
      <w:pPr>
        <w:pStyle w:val="ListParagraph"/>
        <w:numPr>
          <w:ilvl w:val="0"/>
          <w:numId w:val="19"/>
        </w:numPr>
        <w:tabs>
          <w:tab w:pos="878" w:val="left" w:leader="none"/>
        </w:tabs>
        <w:spacing w:line="240" w:lineRule="auto" w:before="0" w:after="0"/>
        <w:ind w:left="877" w:right="877" w:hanging="401"/>
        <w:jc w:val="both"/>
        <w:rPr>
          <w:sz w:val="20"/>
        </w:rPr>
      </w:pPr>
      <w:r>
        <w:rPr>
          <w:sz w:val="20"/>
        </w:rPr>
        <w:t>ein oder mehrere Auditprogramme planen, aufbauen, verwirklichen und aufrechterhalten einschließlich der Häufigkeit von Audits, Methoden, Verantwortlichkeiten, Anforderungen an die Planung sowie Berichterstattung. Die Auditprogramme müssen die Bedeutung der betroffenen Prozesse und die Ergebnisse vorheriger Audits berücksichtigen;</w:t>
      </w:r>
    </w:p>
    <w:p>
      <w:pPr>
        <w:pStyle w:val="BodyText"/>
        <w:spacing w:before="9"/>
      </w:pPr>
    </w:p>
    <w:p>
      <w:pPr>
        <w:pStyle w:val="ListParagraph"/>
        <w:numPr>
          <w:ilvl w:val="0"/>
          <w:numId w:val="19"/>
        </w:numPr>
        <w:tabs>
          <w:tab w:pos="877" w:val="left" w:leader="none"/>
          <w:tab w:pos="878" w:val="left" w:leader="none"/>
        </w:tabs>
        <w:spacing w:line="240" w:lineRule="auto" w:before="0" w:after="0"/>
        <w:ind w:left="877" w:right="0" w:hanging="402"/>
        <w:jc w:val="left"/>
        <w:rPr>
          <w:sz w:val="20"/>
        </w:rPr>
      </w:pPr>
      <w:r>
        <w:rPr>
          <w:sz w:val="20"/>
        </w:rPr>
        <w:t>für jedes Audit die Auditkriterien sowie den Umfang</w:t>
      </w:r>
      <w:r>
        <w:rPr>
          <w:spacing w:val="-7"/>
          <w:sz w:val="20"/>
        </w:rPr>
        <w:t> </w:t>
      </w:r>
      <w:r>
        <w:rPr>
          <w:sz w:val="20"/>
        </w:rPr>
        <w:t>festlegen;</w:t>
      </w:r>
    </w:p>
    <w:p>
      <w:pPr>
        <w:pStyle w:val="BodyText"/>
        <w:spacing w:before="10"/>
      </w:pPr>
    </w:p>
    <w:p>
      <w:pPr>
        <w:pStyle w:val="ListParagraph"/>
        <w:numPr>
          <w:ilvl w:val="0"/>
          <w:numId w:val="19"/>
        </w:numPr>
        <w:tabs>
          <w:tab w:pos="878" w:val="left" w:leader="none"/>
        </w:tabs>
        <w:spacing w:line="240" w:lineRule="auto" w:before="1" w:after="0"/>
        <w:ind w:left="877" w:right="881" w:hanging="401"/>
        <w:jc w:val="both"/>
        <w:rPr>
          <w:sz w:val="20"/>
        </w:rPr>
      </w:pPr>
      <w:r>
        <w:rPr>
          <w:sz w:val="20"/>
        </w:rPr>
        <w:t>Auditoren so auswählen und Audits so durchführen, dass die Objektivität und Unparteilichkeit des Auditprozesses sichergestellt ist;</w:t>
      </w:r>
    </w:p>
    <w:p>
      <w:pPr>
        <w:pStyle w:val="BodyText"/>
        <w:spacing w:before="10"/>
      </w:pPr>
    </w:p>
    <w:p>
      <w:pPr>
        <w:pStyle w:val="ListParagraph"/>
        <w:numPr>
          <w:ilvl w:val="0"/>
          <w:numId w:val="19"/>
        </w:numPr>
        <w:tabs>
          <w:tab w:pos="877" w:val="left" w:leader="none"/>
          <w:tab w:pos="878" w:val="left" w:leader="none"/>
        </w:tabs>
        <w:spacing w:line="240" w:lineRule="auto" w:before="0" w:after="0"/>
        <w:ind w:left="877" w:right="0" w:hanging="402"/>
        <w:jc w:val="left"/>
        <w:rPr>
          <w:sz w:val="20"/>
        </w:rPr>
      </w:pPr>
      <w:r>
        <w:rPr>
          <w:sz w:val="20"/>
        </w:rPr>
        <w:t>sicherstellen, dass die Ergebnisse der Audits gegenüber der zuständigen Leitung berichtet werden;</w:t>
      </w:r>
      <w:r>
        <w:rPr>
          <w:spacing w:val="-19"/>
          <w:sz w:val="20"/>
        </w:rPr>
        <w:t> </w:t>
      </w:r>
      <w:r>
        <w:rPr>
          <w:sz w:val="20"/>
        </w:rPr>
        <w:t>und</w:t>
      </w:r>
    </w:p>
    <w:p>
      <w:pPr>
        <w:pStyle w:val="BodyText"/>
        <w:spacing w:before="8"/>
      </w:pPr>
    </w:p>
    <w:p>
      <w:pPr>
        <w:pStyle w:val="ListParagraph"/>
        <w:numPr>
          <w:ilvl w:val="0"/>
          <w:numId w:val="19"/>
        </w:numPr>
        <w:tabs>
          <w:tab w:pos="878" w:val="left" w:leader="none"/>
        </w:tabs>
        <w:spacing w:line="240" w:lineRule="auto" w:before="0" w:after="0"/>
        <w:ind w:left="877" w:right="877" w:hanging="401"/>
        <w:jc w:val="both"/>
        <w:rPr>
          <w:sz w:val="20"/>
        </w:rPr>
      </w:pPr>
      <w:r>
        <w:rPr>
          <w:sz w:val="20"/>
        </w:rPr>
        <w:t>dokumentierte Information als Nachweis des/der Auditprogramms(e) und der Ergebnisse der Audits aufbewahren.</w:t>
      </w:r>
    </w:p>
    <w:p>
      <w:pPr>
        <w:pStyle w:val="BodyText"/>
        <w:spacing w:before="10"/>
      </w:pPr>
    </w:p>
    <w:p>
      <w:pPr>
        <w:pStyle w:val="ListParagraph"/>
        <w:numPr>
          <w:ilvl w:val="1"/>
          <w:numId w:val="2"/>
        </w:numPr>
        <w:tabs>
          <w:tab w:pos="976" w:val="left" w:leader="none"/>
        </w:tabs>
        <w:spacing w:line="240" w:lineRule="auto" w:before="0" w:after="0"/>
        <w:ind w:left="975" w:right="0" w:hanging="500"/>
        <w:jc w:val="left"/>
        <w:rPr>
          <w:b/>
          <w:sz w:val="22"/>
        </w:rPr>
      </w:pPr>
      <w:bookmarkStart w:name="9.3 Managementbewertung" w:id="112"/>
      <w:bookmarkEnd w:id="112"/>
      <w:r>
        <w:rPr/>
      </w:r>
      <w:bookmarkStart w:name="_bookmark33" w:id="113"/>
      <w:bookmarkEnd w:id="113"/>
      <w:r>
        <w:rPr/>
      </w:r>
      <w:bookmarkStart w:name="_bookmark33" w:id="114"/>
      <w:bookmarkEnd w:id="114"/>
      <w:r>
        <w:rPr>
          <w:b/>
          <w:sz w:val="22"/>
        </w:rPr>
        <w:t>M</w:t>
      </w:r>
      <w:r>
        <w:rPr>
          <w:b/>
          <w:sz w:val="22"/>
        </w:rPr>
        <w:t>anagementbewertung</w:t>
      </w:r>
    </w:p>
    <w:p>
      <w:pPr>
        <w:pStyle w:val="BodyText"/>
        <w:spacing w:before="8"/>
        <w:rPr>
          <w:b/>
        </w:rPr>
      </w:pPr>
    </w:p>
    <w:p>
      <w:pPr>
        <w:pStyle w:val="BodyText"/>
        <w:ind w:left="476" w:right="917"/>
      </w:pPr>
      <w:r>
        <w:rPr/>
        <w:t>Die oberste Leitung muss das Informationssicherheitsmanagementsystem der Organisation in geplanten Abständen bewerten, um dessen fortdauernde Eignung, Angemessenheit und Wirksamkeit sicherzustellen.</w:t>
      </w:r>
    </w:p>
    <w:p>
      <w:pPr>
        <w:pStyle w:val="BodyText"/>
        <w:rPr>
          <w:sz w:val="21"/>
        </w:rPr>
      </w:pPr>
    </w:p>
    <w:p>
      <w:pPr>
        <w:pStyle w:val="BodyText"/>
        <w:ind w:left="476"/>
      </w:pPr>
      <w:r>
        <w:rPr/>
        <w:t>Die Managementbewertung muss folgende Aspekte behandeln:</w:t>
      </w:r>
    </w:p>
    <w:p>
      <w:pPr>
        <w:pStyle w:val="BodyText"/>
        <w:spacing w:before="10"/>
      </w:pPr>
    </w:p>
    <w:p>
      <w:pPr>
        <w:pStyle w:val="ListParagraph"/>
        <w:numPr>
          <w:ilvl w:val="0"/>
          <w:numId w:val="20"/>
        </w:numPr>
        <w:tabs>
          <w:tab w:pos="877" w:val="left" w:leader="none"/>
          <w:tab w:pos="878" w:val="left" w:leader="none"/>
        </w:tabs>
        <w:spacing w:line="240" w:lineRule="auto" w:before="0" w:after="0"/>
        <w:ind w:left="877" w:right="0" w:hanging="402"/>
        <w:jc w:val="left"/>
        <w:rPr>
          <w:sz w:val="20"/>
        </w:rPr>
      </w:pPr>
      <w:r>
        <w:rPr>
          <w:sz w:val="20"/>
        </w:rPr>
        <w:t>den Status von Maßnahmen vorheriger</w:t>
      </w:r>
      <w:r>
        <w:rPr>
          <w:spacing w:val="-2"/>
          <w:sz w:val="20"/>
        </w:rPr>
        <w:t> </w:t>
      </w:r>
      <w:r>
        <w:rPr>
          <w:sz w:val="20"/>
        </w:rPr>
        <w:t>Managementbewertungen;</w:t>
      </w:r>
    </w:p>
    <w:p>
      <w:pPr>
        <w:pStyle w:val="BodyText"/>
        <w:spacing w:before="10"/>
      </w:pPr>
    </w:p>
    <w:p>
      <w:pPr>
        <w:pStyle w:val="ListParagraph"/>
        <w:numPr>
          <w:ilvl w:val="0"/>
          <w:numId w:val="20"/>
        </w:numPr>
        <w:tabs>
          <w:tab w:pos="878" w:val="left" w:leader="none"/>
        </w:tabs>
        <w:spacing w:line="240" w:lineRule="auto" w:before="0" w:after="0"/>
        <w:ind w:left="877" w:right="879" w:hanging="401"/>
        <w:jc w:val="both"/>
        <w:rPr>
          <w:sz w:val="20"/>
        </w:rPr>
      </w:pPr>
      <w:r>
        <w:rPr/>
        <w:pict>
          <v:shape style="position:absolute;margin-left:9.663086pt;margin-top:1.140026pt;width:9.85pt;height:83.7pt;mso-position-horizontal-relative:page;mso-position-vertical-relative:paragraph;z-index:251671552"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sz w:val="20"/>
        </w:rPr>
        <w:t>Veränderungen bei externen und internen Themen, die das Informationssicherheitsmanagementsystem betreffen;</w:t>
      </w:r>
    </w:p>
    <w:p>
      <w:pPr>
        <w:spacing w:after="0" w:line="240" w:lineRule="auto"/>
        <w:jc w:val="both"/>
        <w:rPr>
          <w:sz w:val="20"/>
        </w:rPr>
        <w:sectPr>
          <w:headerReference w:type="even" r:id="rId37"/>
          <w:headerReference w:type="default" r:id="rId38"/>
          <w:footerReference w:type="even" r:id="rId39"/>
          <w:pgSz w:w="11910" w:h="16840"/>
          <w:pgMar w:header="710" w:footer="120" w:top="1540" w:bottom="320" w:left="260" w:right="540"/>
          <w:pgNumType w:start="14"/>
        </w:sectPr>
      </w:pPr>
    </w:p>
    <w:p>
      <w:pPr>
        <w:pStyle w:val="ListParagraph"/>
        <w:numPr>
          <w:ilvl w:val="0"/>
          <w:numId w:val="20"/>
        </w:numPr>
        <w:tabs>
          <w:tab w:pos="1556" w:val="left" w:leader="none"/>
          <w:tab w:pos="1557" w:val="left" w:leader="none"/>
        </w:tabs>
        <w:spacing w:line="240" w:lineRule="auto" w:before="97" w:after="0"/>
        <w:ind w:left="1556" w:right="0" w:hanging="401"/>
        <w:jc w:val="left"/>
        <w:rPr>
          <w:sz w:val="20"/>
        </w:rPr>
      </w:pPr>
      <w:r>
        <w:rPr>
          <w:sz w:val="20"/>
        </w:rPr>
        <w:t>Rückmeldung über die Informationssicherheitsleistung, einschließlich Entwicklungen</w:t>
      </w:r>
      <w:r>
        <w:rPr>
          <w:spacing w:val="-12"/>
          <w:sz w:val="20"/>
        </w:rPr>
        <w:t> </w:t>
      </w:r>
      <w:r>
        <w:rPr>
          <w:sz w:val="20"/>
        </w:rPr>
        <w:t>bei:</w:t>
      </w:r>
    </w:p>
    <w:p>
      <w:pPr>
        <w:pStyle w:val="BodyText"/>
        <w:spacing w:before="11"/>
      </w:pPr>
    </w:p>
    <w:p>
      <w:pPr>
        <w:pStyle w:val="ListParagraph"/>
        <w:numPr>
          <w:ilvl w:val="1"/>
          <w:numId w:val="20"/>
        </w:numPr>
        <w:tabs>
          <w:tab w:pos="1955" w:val="left" w:leader="none"/>
          <w:tab w:pos="1956" w:val="left" w:leader="none"/>
        </w:tabs>
        <w:spacing w:line="240" w:lineRule="auto" w:before="0" w:after="0"/>
        <w:ind w:left="1955" w:right="0" w:hanging="400"/>
        <w:jc w:val="left"/>
        <w:rPr>
          <w:sz w:val="20"/>
        </w:rPr>
      </w:pPr>
      <w:r>
        <w:rPr>
          <w:sz w:val="20"/>
        </w:rPr>
        <w:t>Nichtkonformitäten und</w:t>
      </w:r>
      <w:r>
        <w:rPr>
          <w:spacing w:val="-1"/>
          <w:sz w:val="20"/>
        </w:rPr>
        <w:t> </w:t>
      </w:r>
      <w:r>
        <w:rPr>
          <w:sz w:val="20"/>
        </w:rPr>
        <w:t>Korrekturmaßnahmen;</w:t>
      </w:r>
    </w:p>
    <w:p>
      <w:pPr>
        <w:pStyle w:val="BodyText"/>
        <w:spacing w:before="10"/>
      </w:pPr>
    </w:p>
    <w:p>
      <w:pPr>
        <w:pStyle w:val="ListParagraph"/>
        <w:numPr>
          <w:ilvl w:val="1"/>
          <w:numId w:val="20"/>
        </w:numPr>
        <w:tabs>
          <w:tab w:pos="1955" w:val="left" w:leader="none"/>
          <w:tab w:pos="1956" w:val="left" w:leader="none"/>
        </w:tabs>
        <w:spacing w:line="240" w:lineRule="auto" w:before="0" w:after="0"/>
        <w:ind w:left="1955" w:right="0" w:hanging="400"/>
        <w:jc w:val="left"/>
        <w:rPr>
          <w:sz w:val="20"/>
        </w:rPr>
      </w:pPr>
      <w:r>
        <w:rPr>
          <w:sz w:val="20"/>
        </w:rPr>
        <w:t>Ergebnissen von Überwachungen und</w:t>
      </w:r>
      <w:r>
        <w:rPr>
          <w:spacing w:val="-2"/>
          <w:sz w:val="20"/>
        </w:rPr>
        <w:t> </w:t>
      </w:r>
      <w:r>
        <w:rPr>
          <w:sz w:val="20"/>
        </w:rPr>
        <w:t>Messungen;</w:t>
      </w:r>
    </w:p>
    <w:p>
      <w:pPr>
        <w:pStyle w:val="BodyText"/>
        <w:spacing w:before="8"/>
      </w:pPr>
    </w:p>
    <w:p>
      <w:pPr>
        <w:pStyle w:val="ListParagraph"/>
        <w:numPr>
          <w:ilvl w:val="1"/>
          <w:numId w:val="20"/>
        </w:numPr>
        <w:tabs>
          <w:tab w:pos="1955" w:val="left" w:leader="none"/>
          <w:tab w:pos="1956" w:val="left" w:leader="none"/>
        </w:tabs>
        <w:spacing w:line="240" w:lineRule="auto" w:before="0" w:after="0"/>
        <w:ind w:left="1955" w:right="0" w:hanging="400"/>
        <w:jc w:val="left"/>
        <w:rPr>
          <w:sz w:val="20"/>
        </w:rPr>
      </w:pPr>
      <w:r>
        <w:rPr>
          <w:sz w:val="20"/>
        </w:rPr>
        <w:t>Auditergebnissen; und</w:t>
      </w:r>
    </w:p>
    <w:p>
      <w:pPr>
        <w:pStyle w:val="BodyText"/>
        <w:spacing w:before="10"/>
      </w:pPr>
    </w:p>
    <w:p>
      <w:pPr>
        <w:pStyle w:val="ListParagraph"/>
        <w:numPr>
          <w:ilvl w:val="1"/>
          <w:numId w:val="20"/>
        </w:numPr>
        <w:tabs>
          <w:tab w:pos="1955" w:val="left" w:leader="none"/>
          <w:tab w:pos="1956" w:val="left" w:leader="none"/>
        </w:tabs>
        <w:spacing w:line="240" w:lineRule="auto" w:before="0" w:after="0"/>
        <w:ind w:left="1955" w:right="0" w:hanging="400"/>
        <w:jc w:val="left"/>
        <w:rPr>
          <w:sz w:val="20"/>
        </w:rPr>
      </w:pPr>
      <w:r>
        <w:rPr>
          <w:sz w:val="20"/>
        </w:rPr>
        <w:t>Erreichung von</w:t>
      </w:r>
      <w:r>
        <w:rPr>
          <w:spacing w:val="-1"/>
          <w:sz w:val="20"/>
        </w:rPr>
        <w:t> </w:t>
      </w:r>
      <w:r>
        <w:rPr>
          <w:sz w:val="20"/>
        </w:rPr>
        <w:t>Informationssicherheitszielen;</w:t>
      </w:r>
    </w:p>
    <w:p>
      <w:pPr>
        <w:pStyle w:val="BodyText"/>
        <w:spacing w:before="11"/>
      </w:pPr>
    </w:p>
    <w:p>
      <w:pPr>
        <w:pStyle w:val="ListParagraph"/>
        <w:numPr>
          <w:ilvl w:val="0"/>
          <w:numId w:val="20"/>
        </w:numPr>
        <w:tabs>
          <w:tab w:pos="1556" w:val="left" w:leader="none"/>
          <w:tab w:pos="1557" w:val="left" w:leader="none"/>
        </w:tabs>
        <w:spacing w:line="240" w:lineRule="auto" w:before="0" w:after="0"/>
        <w:ind w:left="1556" w:right="0" w:hanging="401"/>
        <w:jc w:val="left"/>
        <w:rPr>
          <w:sz w:val="20"/>
        </w:rPr>
      </w:pPr>
      <w:r>
        <w:rPr>
          <w:sz w:val="20"/>
        </w:rPr>
        <w:t>Rückmeldung von interessierten Parteien;</w:t>
      </w:r>
    </w:p>
    <w:p>
      <w:pPr>
        <w:pStyle w:val="BodyText"/>
        <w:spacing w:before="10"/>
      </w:pPr>
    </w:p>
    <w:p>
      <w:pPr>
        <w:pStyle w:val="ListParagraph"/>
        <w:numPr>
          <w:ilvl w:val="0"/>
          <w:numId w:val="20"/>
        </w:numPr>
        <w:tabs>
          <w:tab w:pos="1556" w:val="left" w:leader="none"/>
          <w:tab w:pos="1557" w:val="left" w:leader="none"/>
        </w:tabs>
        <w:spacing w:line="240" w:lineRule="auto" w:before="0" w:after="0"/>
        <w:ind w:left="1556" w:right="0" w:hanging="401"/>
        <w:jc w:val="left"/>
        <w:rPr>
          <w:sz w:val="20"/>
        </w:rPr>
      </w:pPr>
      <w:r>
        <w:rPr>
          <w:sz w:val="20"/>
        </w:rPr>
        <w:t>Ergebnisse der Risikobeurteilung und Status des Plans für die Risikobehandlung;</w:t>
      </w:r>
      <w:r>
        <w:rPr>
          <w:spacing w:val="-8"/>
          <w:sz w:val="20"/>
        </w:rPr>
        <w:t> </w:t>
      </w:r>
      <w:r>
        <w:rPr>
          <w:sz w:val="20"/>
        </w:rPr>
        <w:t>und</w:t>
      </w:r>
    </w:p>
    <w:p>
      <w:pPr>
        <w:pStyle w:val="BodyText"/>
        <w:spacing w:before="10"/>
      </w:pPr>
    </w:p>
    <w:p>
      <w:pPr>
        <w:pStyle w:val="ListParagraph"/>
        <w:numPr>
          <w:ilvl w:val="0"/>
          <w:numId w:val="20"/>
        </w:numPr>
        <w:tabs>
          <w:tab w:pos="1556" w:val="left" w:leader="none"/>
          <w:tab w:pos="1557" w:val="left" w:leader="none"/>
        </w:tabs>
        <w:spacing w:line="240" w:lineRule="auto" w:before="1" w:after="0"/>
        <w:ind w:left="1556" w:right="0" w:hanging="401"/>
        <w:jc w:val="left"/>
        <w:rPr>
          <w:sz w:val="20"/>
        </w:rPr>
      </w:pPr>
      <w:r>
        <w:rPr>
          <w:sz w:val="20"/>
        </w:rPr>
        <w:t>Möglichkeiten zur fortlaufenden</w:t>
      </w:r>
      <w:r>
        <w:rPr>
          <w:spacing w:val="1"/>
          <w:sz w:val="20"/>
        </w:rPr>
        <w:t> </w:t>
      </w:r>
      <w:r>
        <w:rPr>
          <w:sz w:val="20"/>
        </w:rPr>
        <w:t>Verbesserung.</w:t>
      </w:r>
    </w:p>
    <w:p>
      <w:pPr>
        <w:pStyle w:val="BodyText"/>
        <w:spacing w:before="10"/>
      </w:pPr>
    </w:p>
    <w:p>
      <w:pPr>
        <w:pStyle w:val="BodyText"/>
        <w:ind w:left="1156" w:right="184"/>
      </w:pPr>
      <w:r>
        <w:rPr/>
        <w:t>Die Ergebnisse der Managementbewertung müssen Entscheidungen zu Möglichkeiten der fortlaufenden Verbesserung sowie zu jeglichem Änderungsbedarf am Informationssicherheitsmanagementsystem enthalten.</w:t>
      </w:r>
    </w:p>
    <w:p>
      <w:pPr>
        <w:pStyle w:val="BodyText"/>
        <w:spacing w:before="8"/>
      </w:pPr>
    </w:p>
    <w:p>
      <w:pPr>
        <w:pStyle w:val="BodyText"/>
        <w:ind w:left="1156"/>
      </w:pPr>
      <w:r>
        <w:rPr/>
        <w:t>Die Organisation muss dokumentierte Information als Nachweis der Ergebnisse der Managementbewertung aufbewahren.</w:t>
      </w:r>
    </w:p>
    <w:p>
      <w:pPr>
        <w:pStyle w:val="BodyText"/>
        <w:spacing w:before="2"/>
        <w:rPr>
          <w:sz w:val="23"/>
        </w:rPr>
      </w:pPr>
    </w:p>
    <w:p>
      <w:pPr>
        <w:pStyle w:val="ListParagraph"/>
        <w:numPr>
          <w:ilvl w:val="0"/>
          <w:numId w:val="2"/>
        </w:numPr>
        <w:tabs>
          <w:tab w:pos="1560" w:val="left" w:leader="none"/>
        </w:tabs>
        <w:spacing w:line="240" w:lineRule="auto" w:before="0" w:after="0"/>
        <w:ind w:left="1559" w:right="0" w:hanging="404"/>
        <w:jc w:val="left"/>
        <w:rPr>
          <w:b/>
          <w:sz w:val="24"/>
        </w:rPr>
      </w:pPr>
      <w:bookmarkStart w:name="10 Verbesserung" w:id="115"/>
      <w:bookmarkEnd w:id="115"/>
      <w:r>
        <w:rPr/>
      </w:r>
      <w:bookmarkStart w:name="_bookmark34" w:id="116"/>
      <w:bookmarkEnd w:id="116"/>
      <w:r>
        <w:rPr/>
      </w:r>
      <w:bookmarkStart w:name="_bookmark34" w:id="117"/>
      <w:bookmarkEnd w:id="117"/>
      <w:r>
        <w:rPr>
          <w:b/>
          <w:sz w:val="24"/>
        </w:rPr>
        <w:t>Ver</w:t>
      </w:r>
      <w:r>
        <w:rPr>
          <w:b/>
          <w:sz w:val="24"/>
        </w:rPr>
        <w:t>besserung</w:t>
      </w:r>
    </w:p>
    <w:p>
      <w:pPr>
        <w:pStyle w:val="BodyText"/>
        <w:spacing w:before="7"/>
        <w:rPr>
          <w:b/>
        </w:rPr>
      </w:pPr>
    </w:p>
    <w:p>
      <w:pPr>
        <w:pStyle w:val="ListParagraph"/>
        <w:numPr>
          <w:ilvl w:val="1"/>
          <w:numId w:val="2"/>
        </w:numPr>
        <w:tabs>
          <w:tab w:pos="1656" w:val="left" w:leader="none"/>
        </w:tabs>
        <w:spacing w:line="240" w:lineRule="auto" w:before="0" w:after="0"/>
        <w:ind w:left="1655" w:right="0" w:hanging="500"/>
        <w:jc w:val="left"/>
        <w:rPr>
          <w:b/>
          <w:sz w:val="22"/>
        </w:rPr>
      </w:pPr>
      <w:bookmarkStart w:name="10.1 Nichtkonformität und Korrekturmaßna" w:id="118"/>
      <w:bookmarkEnd w:id="118"/>
      <w:r>
        <w:rPr/>
      </w:r>
      <w:bookmarkStart w:name="_bookmark35" w:id="119"/>
      <w:bookmarkEnd w:id="119"/>
      <w:r>
        <w:rPr/>
      </w:r>
      <w:bookmarkStart w:name="_bookmark35" w:id="120"/>
      <w:bookmarkEnd w:id="120"/>
      <w:r>
        <w:rPr>
          <w:b/>
          <w:sz w:val="22"/>
        </w:rPr>
        <w:t>N</w:t>
      </w:r>
      <w:r>
        <w:rPr>
          <w:b/>
          <w:sz w:val="22"/>
        </w:rPr>
        <w:t>ichtkonformität und</w:t>
      </w:r>
      <w:r>
        <w:rPr>
          <w:b/>
          <w:spacing w:val="-1"/>
          <w:sz w:val="22"/>
        </w:rPr>
        <w:t> </w:t>
      </w:r>
      <w:r>
        <w:rPr>
          <w:b/>
          <w:sz w:val="22"/>
        </w:rPr>
        <w:t>Korrekturmaßnahmen</w:t>
      </w:r>
    </w:p>
    <w:p>
      <w:pPr>
        <w:pStyle w:val="BodyText"/>
        <w:spacing w:before="9"/>
        <w:rPr>
          <w:b/>
        </w:rPr>
      </w:pPr>
    </w:p>
    <w:p>
      <w:pPr>
        <w:pStyle w:val="BodyText"/>
        <w:ind w:left="1156"/>
      </w:pPr>
      <w:r>
        <w:rPr/>
        <w:t>Wenn eine Nichtkonformität auftritt, muss die</w:t>
      </w:r>
      <w:r>
        <w:rPr>
          <w:spacing w:val="-31"/>
        </w:rPr>
        <w:t> </w:t>
      </w:r>
      <w:r>
        <w:rPr/>
        <w:t>Organisation:</w:t>
      </w:r>
    </w:p>
    <w:p>
      <w:pPr>
        <w:pStyle w:val="BodyText"/>
        <w:spacing w:before="10"/>
      </w:pPr>
    </w:p>
    <w:p>
      <w:pPr>
        <w:pStyle w:val="ListParagraph"/>
        <w:numPr>
          <w:ilvl w:val="0"/>
          <w:numId w:val="21"/>
        </w:numPr>
        <w:tabs>
          <w:tab w:pos="1556" w:val="left" w:leader="none"/>
          <w:tab w:pos="1557" w:val="left" w:leader="none"/>
        </w:tabs>
        <w:spacing w:line="240" w:lineRule="auto" w:before="0" w:after="0"/>
        <w:ind w:left="1556" w:right="0" w:hanging="401"/>
        <w:jc w:val="left"/>
        <w:rPr>
          <w:sz w:val="20"/>
        </w:rPr>
      </w:pPr>
      <w:r>
        <w:rPr>
          <w:sz w:val="20"/>
        </w:rPr>
        <w:t>darauf reagieren und falls</w:t>
      </w:r>
      <w:r>
        <w:rPr>
          <w:spacing w:val="-22"/>
          <w:sz w:val="20"/>
        </w:rPr>
        <w:t> </w:t>
      </w:r>
      <w:r>
        <w:rPr>
          <w:sz w:val="20"/>
        </w:rPr>
        <w:t>zutreffend:</w:t>
      </w:r>
    </w:p>
    <w:p>
      <w:pPr>
        <w:pStyle w:val="ListParagraph"/>
        <w:numPr>
          <w:ilvl w:val="1"/>
          <w:numId w:val="21"/>
        </w:numPr>
        <w:tabs>
          <w:tab w:pos="1955" w:val="left" w:leader="none"/>
          <w:tab w:pos="1956" w:val="left" w:leader="none"/>
        </w:tabs>
        <w:spacing w:line="240" w:lineRule="auto" w:before="181" w:after="0"/>
        <w:ind w:left="1955" w:right="0" w:hanging="400"/>
        <w:jc w:val="left"/>
        <w:rPr>
          <w:sz w:val="20"/>
        </w:rPr>
      </w:pPr>
      <w:r>
        <w:rPr>
          <w:sz w:val="20"/>
        </w:rPr>
        <w:t>Maßnahmen zur Überwachung und zur Korrektur ergreifen; und</w:t>
      </w:r>
    </w:p>
    <w:p>
      <w:pPr>
        <w:pStyle w:val="ListParagraph"/>
        <w:numPr>
          <w:ilvl w:val="1"/>
          <w:numId w:val="21"/>
        </w:numPr>
        <w:tabs>
          <w:tab w:pos="1955" w:val="left" w:leader="none"/>
          <w:tab w:pos="1956" w:val="left" w:leader="none"/>
        </w:tabs>
        <w:spacing w:line="240" w:lineRule="auto" w:before="180" w:after="0"/>
        <w:ind w:left="1955" w:right="0" w:hanging="400"/>
        <w:jc w:val="left"/>
        <w:rPr>
          <w:sz w:val="20"/>
        </w:rPr>
      </w:pPr>
      <w:r>
        <w:rPr>
          <w:sz w:val="20"/>
        </w:rPr>
        <w:t>mit den Folgen</w:t>
      </w:r>
      <w:r>
        <w:rPr>
          <w:spacing w:val="-2"/>
          <w:sz w:val="20"/>
        </w:rPr>
        <w:t> </w:t>
      </w:r>
      <w:r>
        <w:rPr>
          <w:sz w:val="20"/>
        </w:rPr>
        <w:t>umgehen;</w:t>
      </w:r>
    </w:p>
    <w:p>
      <w:pPr>
        <w:pStyle w:val="ListParagraph"/>
        <w:numPr>
          <w:ilvl w:val="0"/>
          <w:numId w:val="21"/>
        </w:numPr>
        <w:tabs>
          <w:tab w:pos="1517" w:val="left" w:leader="none"/>
        </w:tabs>
        <w:spacing w:line="240" w:lineRule="auto" w:before="178" w:after="0"/>
        <w:ind w:left="1556" w:right="201" w:hanging="401"/>
        <w:jc w:val="left"/>
        <w:rPr>
          <w:sz w:val="20"/>
        </w:rPr>
      </w:pPr>
      <w:r>
        <w:rPr>
          <w:sz w:val="20"/>
        </w:rPr>
        <w:t>die Notwendigkeit von Maßnahmen zur Beseitigung der Ursache von Nichtkonformitäten bewerten, damit diese nicht erneut oder an anderer Stelle auftreten, und zwar</w:t>
      </w:r>
      <w:r>
        <w:rPr>
          <w:spacing w:val="-4"/>
          <w:sz w:val="20"/>
        </w:rPr>
        <w:t> </w:t>
      </w:r>
      <w:r>
        <w:rPr>
          <w:sz w:val="20"/>
        </w:rPr>
        <w:t>durch:</w:t>
      </w:r>
    </w:p>
    <w:p>
      <w:pPr>
        <w:pStyle w:val="ListParagraph"/>
        <w:numPr>
          <w:ilvl w:val="1"/>
          <w:numId w:val="21"/>
        </w:numPr>
        <w:tabs>
          <w:tab w:pos="1955" w:val="left" w:leader="none"/>
          <w:tab w:pos="1956" w:val="left" w:leader="none"/>
        </w:tabs>
        <w:spacing w:line="240" w:lineRule="auto" w:before="181" w:after="0"/>
        <w:ind w:left="1955" w:right="0" w:hanging="400"/>
        <w:jc w:val="left"/>
        <w:rPr>
          <w:sz w:val="20"/>
        </w:rPr>
      </w:pPr>
      <w:r>
        <w:rPr>
          <w:sz w:val="20"/>
        </w:rPr>
        <w:t>Überprüfen der</w:t>
      </w:r>
      <w:r>
        <w:rPr>
          <w:spacing w:val="-2"/>
          <w:sz w:val="20"/>
        </w:rPr>
        <w:t> </w:t>
      </w:r>
      <w:r>
        <w:rPr>
          <w:sz w:val="20"/>
        </w:rPr>
        <w:t>Nichtkonformität;</w:t>
      </w:r>
    </w:p>
    <w:p>
      <w:pPr>
        <w:pStyle w:val="ListParagraph"/>
        <w:numPr>
          <w:ilvl w:val="1"/>
          <w:numId w:val="21"/>
        </w:numPr>
        <w:tabs>
          <w:tab w:pos="1955" w:val="left" w:leader="none"/>
          <w:tab w:pos="1956" w:val="left" w:leader="none"/>
        </w:tabs>
        <w:spacing w:line="240" w:lineRule="auto" w:before="180" w:after="0"/>
        <w:ind w:left="1955" w:right="0" w:hanging="400"/>
        <w:jc w:val="left"/>
        <w:rPr>
          <w:sz w:val="20"/>
        </w:rPr>
      </w:pPr>
      <w:r>
        <w:rPr>
          <w:sz w:val="20"/>
        </w:rPr>
        <w:t>Bestimmen der Ursachen der Nichtkonformität;</w:t>
      </w:r>
      <w:r>
        <w:rPr>
          <w:spacing w:val="-3"/>
          <w:sz w:val="20"/>
        </w:rPr>
        <w:t> </w:t>
      </w:r>
      <w:r>
        <w:rPr>
          <w:sz w:val="20"/>
        </w:rPr>
        <w:t>und</w:t>
      </w:r>
    </w:p>
    <w:p>
      <w:pPr>
        <w:pStyle w:val="ListParagraph"/>
        <w:numPr>
          <w:ilvl w:val="1"/>
          <w:numId w:val="21"/>
        </w:numPr>
        <w:tabs>
          <w:tab w:pos="1955" w:val="left" w:leader="none"/>
          <w:tab w:pos="1956" w:val="left" w:leader="none"/>
        </w:tabs>
        <w:spacing w:line="240" w:lineRule="auto" w:before="181" w:after="0"/>
        <w:ind w:left="1955" w:right="0" w:hanging="400"/>
        <w:jc w:val="left"/>
        <w:rPr>
          <w:sz w:val="20"/>
        </w:rPr>
      </w:pPr>
      <w:r>
        <w:rPr>
          <w:sz w:val="20"/>
        </w:rPr>
        <w:t>Bestimmen, ob vergleichbare Nichtkonformitäten bestehen, oder möglicherweise auftreten</w:t>
      </w:r>
      <w:r>
        <w:rPr>
          <w:spacing w:val="-31"/>
          <w:sz w:val="20"/>
        </w:rPr>
        <w:t> </w:t>
      </w:r>
      <w:r>
        <w:rPr>
          <w:sz w:val="20"/>
        </w:rPr>
        <w:t>könnten;</w:t>
      </w:r>
    </w:p>
    <w:p>
      <w:pPr>
        <w:pStyle w:val="ListParagraph"/>
        <w:numPr>
          <w:ilvl w:val="0"/>
          <w:numId w:val="21"/>
        </w:numPr>
        <w:tabs>
          <w:tab w:pos="1517" w:val="left" w:leader="none"/>
        </w:tabs>
        <w:spacing w:line="240" w:lineRule="auto" w:before="180" w:after="0"/>
        <w:ind w:left="1516" w:right="0" w:hanging="361"/>
        <w:jc w:val="left"/>
        <w:rPr>
          <w:sz w:val="20"/>
        </w:rPr>
      </w:pPr>
      <w:r>
        <w:rPr>
          <w:sz w:val="20"/>
        </w:rPr>
        <w:t>jegliche erforderliche Maßnahme</w:t>
      </w:r>
      <w:r>
        <w:rPr>
          <w:spacing w:val="-2"/>
          <w:sz w:val="20"/>
        </w:rPr>
        <w:t> </w:t>
      </w:r>
      <w:r>
        <w:rPr>
          <w:sz w:val="20"/>
        </w:rPr>
        <w:t>einleiten;</w:t>
      </w:r>
    </w:p>
    <w:p>
      <w:pPr>
        <w:pStyle w:val="ListParagraph"/>
        <w:numPr>
          <w:ilvl w:val="0"/>
          <w:numId w:val="21"/>
        </w:numPr>
        <w:tabs>
          <w:tab w:pos="1556" w:val="left" w:leader="none"/>
          <w:tab w:pos="1557" w:val="left" w:leader="none"/>
        </w:tabs>
        <w:spacing w:line="240" w:lineRule="auto" w:before="178" w:after="0"/>
        <w:ind w:left="1556" w:right="0" w:hanging="401"/>
        <w:jc w:val="left"/>
        <w:rPr>
          <w:sz w:val="20"/>
        </w:rPr>
      </w:pPr>
      <w:r>
        <w:rPr>
          <w:sz w:val="20"/>
        </w:rPr>
        <w:t>die Wirksamkeit jeglicher ergriffener Korrekturmaßnahme überprüfen;</w:t>
      </w:r>
      <w:r>
        <w:rPr>
          <w:spacing w:val="-11"/>
          <w:sz w:val="20"/>
        </w:rPr>
        <w:t> </w:t>
      </w:r>
      <w:r>
        <w:rPr>
          <w:sz w:val="20"/>
        </w:rPr>
        <w:t>und</w:t>
      </w:r>
    </w:p>
    <w:p>
      <w:pPr>
        <w:pStyle w:val="ListParagraph"/>
        <w:numPr>
          <w:ilvl w:val="0"/>
          <w:numId w:val="21"/>
        </w:numPr>
        <w:tabs>
          <w:tab w:pos="1556" w:val="left" w:leader="none"/>
          <w:tab w:pos="1557" w:val="left" w:leader="none"/>
        </w:tabs>
        <w:spacing w:line="240" w:lineRule="auto" w:before="180" w:after="0"/>
        <w:ind w:left="1556" w:right="0" w:hanging="401"/>
        <w:jc w:val="left"/>
        <w:rPr>
          <w:sz w:val="20"/>
        </w:rPr>
      </w:pPr>
      <w:r>
        <w:rPr>
          <w:sz w:val="20"/>
        </w:rPr>
        <w:t>sofern erforderlich, das Informationssicherheitsmanagementsystem</w:t>
      </w:r>
      <w:r>
        <w:rPr>
          <w:spacing w:val="-3"/>
          <w:sz w:val="20"/>
        </w:rPr>
        <w:t> </w:t>
      </w:r>
      <w:r>
        <w:rPr>
          <w:sz w:val="20"/>
        </w:rPr>
        <w:t>ändern.</w:t>
      </w:r>
    </w:p>
    <w:p>
      <w:pPr>
        <w:pStyle w:val="BodyText"/>
        <w:spacing w:line="427" w:lineRule="auto" w:before="181"/>
        <w:ind w:left="1156" w:right="235"/>
      </w:pPr>
      <w:r>
        <w:rPr/>
        <w:t>Korrekturmaßnahmen müssen den Auswirkungen der aufgetretenen Nichtkonformitäten angemessen sein. Die Organisation muss dokumentierte Information aufbewahren, als Nachweis:</w:t>
      </w:r>
    </w:p>
    <w:p>
      <w:pPr>
        <w:pStyle w:val="ListParagraph"/>
        <w:numPr>
          <w:ilvl w:val="0"/>
          <w:numId w:val="21"/>
        </w:numPr>
        <w:tabs>
          <w:tab w:pos="1556" w:val="left" w:leader="none"/>
          <w:tab w:pos="1557" w:val="left" w:leader="none"/>
        </w:tabs>
        <w:spacing w:line="240" w:lineRule="auto" w:before="2" w:after="0"/>
        <w:ind w:left="1556" w:right="0" w:hanging="401"/>
        <w:jc w:val="left"/>
        <w:rPr>
          <w:sz w:val="20"/>
        </w:rPr>
      </w:pPr>
      <w:r>
        <w:rPr>
          <w:sz w:val="20"/>
        </w:rPr>
        <w:t>der Art der Nichtkonformität sowie jeder daraufhin getroffenen Maßnahme;</w:t>
      </w:r>
      <w:r>
        <w:rPr>
          <w:spacing w:val="-6"/>
          <w:sz w:val="20"/>
        </w:rPr>
        <w:t> </w:t>
      </w:r>
      <w:r>
        <w:rPr>
          <w:sz w:val="20"/>
        </w:rPr>
        <w:t>und</w:t>
      </w:r>
    </w:p>
    <w:p>
      <w:pPr>
        <w:pStyle w:val="ListParagraph"/>
        <w:numPr>
          <w:ilvl w:val="0"/>
          <w:numId w:val="21"/>
        </w:numPr>
        <w:tabs>
          <w:tab w:pos="1556" w:val="left" w:leader="none"/>
          <w:tab w:pos="1557" w:val="left" w:leader="none"/>
        </w:tabs>
        <w:spacing w:line="240" w:lineRule="auto" w:before="180" w:after="0"/>
        <w:ind w:left="1556" w:right="0" w:hanging="401"/>
        <w:jc w:val="left"/>
        <w:rPr>
          <w:sz w:val="20"/>
        </w:rPr>
      </w:pPr>
      <w:r>
        <w:rPr>
          <w:sz w:val="20"/>
        </w:rPr>
        <w:t>der Ergebnisse jeder Korrekturmaßnahme.</w:t>
      </w:r>
    </w:p>
    <w:p>
      <w:pPr>
        <w:pStyle w:val="ListParagraph"/>
        <w:numPr>
          <w:ilvl w:val="1"/>
          <w:numId w:val="2"/>
        </w:numPr>
        <w:tabs>
          <w:tab w:pos="1656" w:val="left" w:leader="none"/>
        </w:tabs>
        <w:spacing w:line="240" w:lineRule="auto" w:before="177" w:after="0"/>
        <w:ind w:left="1655" w:right="0" w:hanging="500"/>
        <w:jc w:val="left"/>
        <w:rPr>
          <w:b/>
          <w:sz w:val="22"/>
        </w:rPr>
      </w:pPr>
      <w:bookmarkStart w:name="10.2 Fortlaufende Verbesserung" w:id="121"/>
      <w:bookmarkEnd w:id="121"/>
      <w:r>
        <w:rPr/>
      </w:r>
      <w:bookmarkStart w:name="_bookmark36" w:id="122"/>
      <w:bookmarkEnd w:id="122"/>
      <w:r>
        <w:rPr/>
      </w:r>
      <w:bookmarkStart w:name="_bookmark36" w:id="123"/>
      <w:bookmarkEnd w:id="123"/>
      <w:r>
        <w:rPr>
          <w:b/>
          <w:sz w:val="22"/>
        </w:rPr>
        <w:t>Fo</w:t>
      </w:r>
      <w:r>
        <w:rPr>
          <w:b/>
          <w:sz w:val="22"/>
        </w:rPr>
        <w:t>rtlaufende</w:t>
      </w:r>
      <w:r>
        <w:rPr>
          <w:b/>
          <w:spacing w:val="-1"/>
          <w:sz w:val="22"/>
        </w:rPr>
        <w:t> </w:t>
      </w:r>
      <w:r>
        <w:rPr>
          <w:b/>
          <w:sz w:val="22"/>
        </w:rPr>
        <w:t>Verbesserung</w:t>
      </w:r>
    </w:p>
    <w:p>
      <w:pPr>
        <w:pStyle w:val="BodyText"/>
        <w:spacing w:before="11"/>
        <w:rPr>
          <w:b/>
        </w:rPr>
      </w:pPr>
    </w:p>
    <w:p>
      <w:pPr>
        <w:pStyle w:val="BodyText"/>
        <w:tabs>
          <w:tab w:pos="1883" w:val="left" w:leader="none"/>
          <w:tab w:pos="3449" w:val="left" w:leader="none"/>
          <w:tab w:pos="4359" w:val="left" w:leader="none"/>
          <w:tab w:pos="5053" w:val="left" w:leader="none"/>
          <w:tab w:pos="6272" w:val="left" w:leader="none"/>
          <w:tab w:pos="8192" w:val="left" w:leader="none"/>
          <w:tab w:pos="8950" w:val="left" w:leader="none"/>
          <w:tab w:pos="10474" w:val="left" w:leader="none"/>
        </w:tabs>
        <w:ind w:left="1156" w:right="197"/>
      </w:pPr>
      <w:r>
        <w:rPr/>
        <w:pict>
          <v:shape style="position:absolute;margin-left:9.663086pt;margin-top:1.130428pt;width:9.85pt;height:83.7pt;mso-position-horizontal-relative:page;mso-position-vertical-relative:paragraph;z-index:-254704640"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r>
        <w:rPr/>
        <w:t>Die</w:t>
        <w:tab/>
        <w:t>Organisation</w:t>
        <w:tab/>
        <w:t>muss</w:t>
        <w:tab/>
        <w:t>die</w:t>
        <w:tab/>
        <w:t>Eignung,</w:t>
        <w:tab/>
        <w:t>Angemessenheit</w:t>
        <w:tab/>
        <w:t>und</w:t>
        <w:tab/>
        <w:t>Wirksamkeit</w:t>
        <w:tab/>
      </w:r>
      <w:r>
        <w:rPr>
          <w:spacing w:val="-4"/>
        </w:rPr>
        <w:t>ihres </w:t>
      </w:r>
      <w:r>
        <w:rPr/>
        <w:t>Informationssicherheitsmanagementsystems fortlaufend</w:t>
      </w:r>
      <w:r>
        <w:rPr>
          <w:spacing w:val="-2"/>
        </w:rPr>
        <w:t> </w:t>
      </w:r>
      <w:r>
        <w:rPr/>
        <w:t>verbessern.</w:t>
      </w:r>
    </w:p>
    <w:p>
      <w:pPr>
        <w:pStyle w:val="BodyText"/>
      </w:pPr>
    </w:p>
    <w:p>
      <w:pPr>
        <w:pStyle w:val="BodyText"/>
      </w:pPr>
    </w:p>
    <w:p>
      <w:pPr>
        <w:pStyle w:val="BodyText"/>
        <w:spacing w:before="3"/>
        <w:rPr>
          <w:sz w:val="21"/>
        </w:rPr>
      </w:pPr>
    </w:p>
    <w:p>
      <w:pPr>
        <w:spacing w:before="94"/>
        <w:ind w:left="0" w:right="197" w:firstLine="0"/>
        <w:jc w:val="right"/>
        <w:rPr>
          <w:b/>
          <w:sz w:val="22"/>
        </w:rPr>
      </w:pPr>
      <w:r>
        <w:rPr>
          <w:b/>
          <w:sz w:val="22"/>
        </w:rPr>
        <w:t>15</w:t>
      </w:r>
    </w:p>
    <w:p>
      <w:pPr>
        <w:spacing w:after="0"/>
        <w:jc w:val="right"/>
        <w:rPr>
          <w:sz w:val="22"/>
        </w:rPr>
        <w:sectPr>
          <w:footerReference w:type="default" r:id="rId40"/>
          <w:pgSz w:w="11910" w:h="16840"/>
          <w:pgMar w:footer="0" w:header="710" w:top="1540" w:bottom="280" w:left="260" w:right="540"/>
        </w:sectPr>
      </w:pPr>
    </w:p>
    <w:p>
      <w:pPr>
        <w:spacing w:line="316" w:lineRule="exact" w:before="87"/>
        <w:ind w:left="2408" w:right="2801" w:firstLine="0"/>
        <w:jc w:val="center"/>
        <w:rPr>
          <w:b/>
          <w:sz w:val="28"/>
        </w:rPr>
      </w:pPr>
      <w:r>
        <w:rPr/>
        <w:pict>
          <v:shape style="position:absolute;margin-left:9.663086pt;margin-top:739.23053pt;width:9.85pt;height:83.7pt;mso-position-horizontal-relative:page;mso-position-vertical-relative:page;z-index:251673600"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bookmarkStart w:name="Anhang A(normativ)Referenzmaßnahmenziele" w:id="124"/>
      <w:bookmarkEnd w:id="124"/>
      <w:r>
        <w:rPr/>
      </w:r>
      <w:bookmarkStart w:name="_bookmark37" w:id="125"/>
      <w:bookmarkEnd w:id="125"/>
      <w:r>
        <w:rPr/>
      </w:r>
      <w:r>
        <w:rPr>
          <w:b/>
          <w:sz w:val="28"/>
        </w:rPr>
        <w:t>Anhang</w:t>
      </w:r>
      <w:r>
        <w:rPr>
          <w:b/>
          <w:spacing w:val="-2"/>
          <w:sz w:val="28"/>
        </w:rPr>
        <w:t> </w:t>
      </w:r>
      <w:r>
        <w:rPr>
          <w:b/>
          <w:sz w:val="28"/>
        </w:rPr>
        <w:t>A</w:t>
      </w:r>
    </w:p>
    <w:p>
      <w:pPr>
        <w:spacing w:line="316" w:lineRule="exact" w:before="0"/>
        <w:ind w:left="2408" w:right="2808" w:firstLine="0"/>
        <w:jc w:val="center"/>
        <w:rPr>
          <w:sz w:val="28"/>
        </w:rPr>
      </w:pPr>
      <w:r>
        <w:rPr>
          <w:sz w:val="28"/>
        </w:rPr>
        <w:t>(normativ)</w:t>
      </w:r>
    </w:p>
    <w:p>
      <w:pPr>
        <w:pStyle w:val="BodyText"/>
        <w:spacing w:before="8"/>
        <w:rPr>
          <w:sz w:val="25"/>
        </w:rPr>
      </w:pPr>
    </w:p>
    <w:p>
      <w:pPr>
        <w:spacing w:before="0"/>
        <w:ind w:left="2408" w:right="2811" w:firstLine="0"/>
        <w:jc w:val="center"/>
        <w:rPr>
          <w:b/>
          <w:sz w:val="28"/>
        </w:rPr>
      </w:pPr>
      <w:r>
        <w:rPr>
          <w:b/>
          <w:sz w:val="28"/>
        </w:rPr>
        <w:t>Referenzmaßnahmenziele und -maßnahmen</w:t>
      </w:r>
    </w:p>
    <w:p>
      <w:pPr>
        <w:pStyle w:val="BodyText"/>
        <w:rPr>
          <w:b/>
          <w:sz w:val="30"/>
        </w:rPr>
      </w:pPr>
    </w:p>
    <w:p>
      <w:pPr>
        <w:pStyle w:val="BodyText"/>
        <w:spacing w:before="1"/>
        <w:rPr>
          <w:b/>
          <w:sz w:val="36"/>
        </w:rPr>
      </w:pPr>
    </w:p>
    <w:p>
      <w:pPr>
        <w:pStyle w:val="BodyText"/>
        <w:spacing w:before="1"/>
        <w:ind w:left="476" w:right="875"/>
        <w:jc w:val="both"/>
      </w:pPr>
      <w:r>
        <w:rPr/>
        <w:t>Die  in  Tabelle A.1  aufgeführten  Maßnahmenziele  und  Maßnahmen  sind  aus  denjenigen,  die  in  ISO/IEC 27002, Abschnitte 5 bis 18, genannt sind, direkt abgeleitet, daran ausgerichtet und müssen im Kontext mit Abschnitt 6.1.3 angewendet</w:t>
      </w:r>
      <w:r>
        <w:rPr>
          <w:spacing w:val="-3"/>
        </w:rPr>
        <w:t> </w:t>
      </w:r>
      <w:r>
        <w:rPr/>
        <w:t>werden.</w:t>
      </w:r>
    </w:p>
    <w:p>
      <w:pPr>
        <w:pStyle w:val="BodyText"/>
        <w:spacing w:before="8"/>
      </w:pPr>
    </w:p>
    <w:p>
      <w:pPr>
        <w:pStyle w:val="Heading3"/>
        <w:spacing w:before="1"/>
        <w:ind w:left="2408" w:right="2809" w:firstLine="0"/>
        <w:jc w:val="center"/>
      </w:pPr>
      <w:r>
        <w:rPr/>
        <w:t>Tabelle A.1 – Maßnahmenziele und Maßnahmen</w:t>
      </w:r>
    </w:p>
    <w:p>
      <w:pPr>
        <w:pStyle w:val="BodyText"/>
        <w:spacing w:before="10"/>
        <w:rPr>
          <w:b/>
          <w:sz w:val="10"/>
        </w:rPr>
      </w:pPr>
    </w:p>
    <w:tbl>
      <w:tblPr>
        <w:tblW w:w="0" w:type="auto"/>
        <w:jc w:val="left"/>
        <w:tblInd w:w="4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62"/>
        <w:gridCol w:w="3595"/>
        <w:gridCol w:w="5333"/>
      </w:tblGrid>
      <w:tr>
        <w:trPr>
          <w:trHeight w:val="349" w:hRule="atLeast"/>
        </w:trPr>
        <w:tc>
          <w:tcPr>
            <w:tcW w:w="9890" w:type="dxa"/>
            <w:gridSpan w:val="3"/>
            <w:tcBorders>
              <w:bottom w:val="single" w:sz="6" w:space="0" w:color="000000"/>
            </w:tcBorders>
          </w:tcPr>
          <w:p>
            <w:pPr>
              <w:pStyle w:val="TableParagraph"/>
              <w:spacing w:before="54"/>
              <w:ind w:left="107"/>
              <w:rPr>
                <w:b/>
                <w:sz w:val="20"/>
              </w:rPr>
            </w:pPr>
            <w:r>
              <w:rPr>
                <w:b/>
                <w:sz w:val="20"/>
              </w:rPr>
              <w:t>A.5 Informationssicherheitsrichtlinien</w:t>
            </w:r>
          </w:p>
        </w:tc>
      </w:tr>
      <w:tr>
        <w:trPr>
          <w:trHeight w:val="870" w:hRule="atLeast"/>
        </w:trPr>
        <w:tc>
          <w:tcPr>
            <w:tcW w:w="9890" w:type="dxa"/>
            <w:gridSpan w:val="3"/>
            <w:tcBorders>
              <w:top w:val="single" w:sz="6" w:space="0" w:color="000000"/>
              <w:bottom w:val="single" w:sz="6" w:space="0" w:color="000000"/>
            </w:tcBorders>
          </w:tcPr>
          <w:p>
            <w:pPr>
              <w:pStyle w:val="TableParagraph"/>
              <w:tabs>
                <w:tab w:pos="906" w:val="left" w:leader="none"/>
              </w:tabs>
              <w:spacing w:before="54"/>
              <w:ind w:left="107"/>
              <w:rPr>
                <w:b/>
                <w:sz w:val="20"/>
              </w:rPr>
            </w:pPr>
            <w:r>
              <w:rPr>
                <w:b/>
                <w:sz w:val="20"/>
              </w:rPr>
              <w:t>A.5.1</w:t>
              <w:tab/>
              <w:t>Vorgaben der Leitung für Informationssicherheit</w:t>
            </w:r>
          </w:p>
          <w:p>
            <w:pPr>
              <w:pStyle w:val="TableParagraph"/>
              <w:spacing w:before="63"/>
              <w:ind w:left="107"/>
              <w:rPr>
                <w:sz w:val="20"/>
              </w:rPr>
            </w:pPr>
            <w:r>
              <w:rPr>
                <w:sz w:val="20"/>
              </w:rPr>
              <w:t>Ziel: Vorgaben und Unterstützung für die Informationssicherheit sind seitens der Leitung in Übereinstimmung mit geschäftlichen Anforderungen und den relevanten Gesetzen und Vorschriften bereitgestellt.</w:t>
            </w:r>
          </w:p>
        </w:tc>
      </w:tr>
      <w:tr>
        <w:trPr>
          <w:trHeight w:val="1329" w:hRule="atLeast"/>
        </w:trPr>
        <w:tc>
          <w:tcPr>
            <w:tcW w:w="962" w:type="dxa"/>
            <w:tcBorders>
              <w:top w:val="single" w:sz="6" w:space="0" w:color="000000"/>
              <w:bottom w:val="single" w:sz="6" w:space="0" w:color="000000"/>
              <w:right w:val="single" w:sz="6" w:space="0" w:color="000000"/>
            </w:tcBorders>
          </w:tcPr>
          <w:p>
            <w:pPr>
              <w:pStyle w:val="TableParagraph"/>
              <w:ind w:left="87" w:right="178"/>
              <w:jc w:val="center"/>
              <w:rPr>
                <w:sz w:val="20"/>
              </w:rPr>
            </w:pPr>
            <w:r>
              <w:rPr>
                <w:sz w:val="20"/>
              </w:rPr>
              <w:t>A.5.1.1</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rPr>
                <w:sz w:val="20"/>
              </w:rPr>
            </w:pPr>
            <w:r>
              <w:rPr>
                <w:sz w:val="20"/>
              </w:rPr>
              <w:t>Informationssicherheitsrichtlinien</w:t>
            </w:r>
          </w:p>
        </w:tc>
        <w:tc>
          <w:tcPr>
            <w:tcW w:w="5333" w:type="dxa"/>
            <w:tcBorders>
              <w:top w:val="single" w:sz="6" w:space="0" w:color="000000"/>
              <w:left w:val="single" w:sz="6" w:space="0" w:color="000000"/>
              <w:bottom w:val="single" w:sz="6" w:space="0" w:color="000000"/>
            </w:tcBorders>
          </w:tcPr>
          <w:p>
            <w:pPr>
              <w:pStyle w:val="TableParagraph"/>
              <w:spacing w:before="68"/>
              <w:rPr>
                <w:i/>
                <w:sz w:val="19"/>
              </w:rPr>
            </w:pPr>
            <w:r>
              <w:rPr>
                <w:i/>
                <w:sz w:val="19"/>
              </w:rPr>
              <w:t>Maßnahme</w:t>
            </w:r>
          </w:p>
          <w:p>
            <w:pPr>
              <w:pStyle w:val="TableParagraph"/>
              <w:spacing w:before="61"/>
              <w:ind w:right="79"/>
              <w:jc w:val="both"/>
              <w:rPr>
                <w:sz w:val="20"/>
              </w:rPr>
            </w:pPr>
            <w:r>
              <w:rPr>
                <w:sz w:val="20"/>
              </w:rPr>
              <w:t>Ein Satz Informationssicherheitsrichtlinien ist festgelegt, von der Leitung genehmigt, herausgegeben und den Beschäftigten sowie relevanten externen Parteien bekanntgemacht.</w:t>
            </w:r>
          </w:p>
        </w:tc>
      </w:tr>
      <w:tr>
        <w:trPr>
          <w:trHeight w:val="1331" w:hRule="atLeast"/>
        </w:trPr>
        <w:tc>
          <w:tcPr>
            <w:tcW w:w="962" w:type="dxa"/>
            <w:tcBorders>
              <w:top w:val="single" w:sz="6" w:space="0" w:color="000000"/>
              <w:bottom w:val="single" w:sz="6" w:space="0" w:color="000000"/>
              <w:right w:val="single" w:sz="6" w:space="0" w:color="000000"/>
            </w:tcBorders>
          </w:tcPr>
          <w:p>
            <w:pPr>
              <w:pStyle w:val="TableParagraph"/>
              <w:ind w:left="87" w:right="178"/>
              <w:jc w:val="center"/>
              <w:rPr>
                <w:sz w:val="20"/>
              </w:rPr>
            </w:pPr>
            <w:r>
              <w:rPr>
                <w:sz w:val="20"/>
              </w:rPr>
              <w:t>A.5.1.2</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ind w:right="765"/>
              <w:rPr>
                <w:sz w:val="20"/>
              </w:rPr>
            </w:pPr>
            <w:r>
              <w:rPr>
                <w:sz w:val="20"/>
              </w:rPr>
              <w:t>Überprüfung der Informations- sicherheitsrichtlinien</w:t>
            </w:r>
          </w:p>
        </w:tc>
        <w:tc>
          <w:tcPr>
            <w:tcW w:w="5333" w:type="dxa"/>
            <w:tcBorders>
              <w:top w:val="single" w:sz="6" w:space="0" w:color="000000"/>
              <w:left w:val="single" w:sz="6" w:space="0" w:color="000000"/>
              <w:bottom w:val="single" w:sz="6" w:space="0" w:color="000000"/>
            </w:tcBorders>
          </w:tcPr>
          <w:p>
            <w:pPr>
              <w:pStyle w:val="TableParagraph"/>
              <w:spacing w:before="68"/>
              <w:rPr>
                <w:i/>
                <w:sz w:val="19"/>
              </w:rPr>
            </w:pPr>
            <w:r>
              <w:rPr>
                <w:i/>
                <w:sz w:val="19"/>
              </w:rPr>
              <w:t>Maßnahme</w:t>
            </w:r>
          </w:p>
          <w:p>
            <w:pPr>
              <w:pStyle w:val="TableParagraph"/>
              <w:spacing w:before="61"/>
              <w:ind w:right="80"/>
              <w:jc w:val="both"/>
              <w:rPr>
                <w:sz w:val="20"/>
              </w:rPr>
            </w:pPr>
            <w:r>
              <w:rPr>
                <w:sz w:val="20"/>
              </w:rPr>
              <w:t>Die Informationssicherheitsrichtlinien werden in geplanten Abständen oder jeweils nach erheblichen Änderungen überprüft, um sicherzustellen, dass sie nach wie vor geeignet, angemessen und wirksam sind.</w:t>
            </w:r>
          </w:p>
        </w:tc>
      </w:tr>
      <w:tr>
        <w:trPr>
          <w:trHeight w:val="349" w:hRule="atLeast"/>
        </w:trPr>
        <w:tc>
          <w:tcPr>
            <w:tcW w:w="9890" w:type="dxa"/>
            <w:gridSpan w:val="3"/>
            <w:tcBorders>
              <w:top w:val="single" w:sz="6" w:space="0" w:color="000000"/>
              <w:bottom w:val="single" w:sz="6" w:space="0" w:color="000000"/>
            </w:tcBorders>
          </w:tcPr>
          <w:p>
            <w:pPr>
              <w:pStyle w:val="TableParagraph"/>
              <w:spacing w:before="54"/>
              <w:ind w:left="107"/>
              <w:rPr>
                <w:b/>
                <w:sz w:val="20"/>
              </w:rPr>
            </w:pPr>
            <w:r>
              <w:rPr>
                <w:b/>
                <w:sz w:val="20"/>
              </w:rPr>
              <w:t>A.6 Organisation der Informationssicherheit</w:t>
            </w:r>
          </w:p>
        </w:tc>
      </w:tr>
      <w:tr>
        <w:trPr>
          <w:trHeight w:val="868" w:hRule="atLeast"/>
        </w:trPr>
        <w:tc>
          <w:tcPr>
            <w:tcW w:w="9890" w:type="dxa"/>
            <w:gridSpan w:val="3"/>
            <w:tcBorders>
              <w:top w:val="single" w:sz="6" w:space="0" w:color="000000"/>
              <w:bottom w:val="single" w:sz="6" w:space="0" w:color="000000"/>
            </w:tcBorders>
          </w:tcPr>
          <w:p>
            <w:pPr>
              <w:pStyle w:val="TableParagraph"/>
              <w:tabs>
                <w:tab w:pos="906" w:val="left" w:leader="none"/>
              </w:tabs>
              <w:spacing w:before="54"/>
              <w:ind w:left="107"/>
              <w:rPr>
                <w:b/>
                <w:sz w:val="20"/>
              </w:rPr>
            </w:pPr>
            <w:r>
              <w:rPr>
                <w:b/>
                <w:sz w:val="20"/>
              </w:rPr>
              <w:t>A.6.1</w:t>
              <w:tab/>
              <w:t>Interne</w:t>
            </w:r>
            <w:r>
              <w:rPr>
                <w:b/>
                <w:spacing w:val="-2"/>
                <w:sz w:val="20"/>
              </w:rPr>
              <w:t> </w:t>
            </w:r>
            <w:r>
              <w:rPr>
                <w:b/>
                <w:sz w:val="20"/>
              </w:rPr>
              <w:t>Organisation</w:t>
            </w:r>
          </w:p>
          <w:p>
            <w:pPr>
              <w:pStyle w:val="TableParagraph"/>
              <w:spacing w:before="63"/>
              <w:ind w:left="107"/>
              <w:rPr>
                <w:sz w:val="20"/>
              </w:rPr>
            </w:pPr>
            <w:r>
              <w:rPr>
                <w:sz w:val="20"/>
              </w:rPr>
              <w:t>Ziel: Ein Rahmenwerk für die Leitung, mit dem die Umsetzung der Informationssicherheit in der Organisation eingeleitet und gesteuert werden kann, ist eingerichtet.</w:t>
            </w:r>
          </w:p>
        </w:tc>
      </w:tr>
      <w:tr>
        <w:trPr>
          <w:trHeight w:val="870" w:hRule="atLeast"/>
        </w:trPr>
        <w:tc>
          <w:tcPr>
            <w:tcW w:w="962" w:type="dxa"/>
            <w:tcBorders>
              <w:top w:val="single" w:sz="6" w:space="0" w:color="000000"/>
              <w:bottom w:val="single" w:sz="6" w:space="0" w:color="000000"/>
              <w:right w:val="single" w:sz="6" w:space="0" w:color="000000"/>
            </w:tcBorders>
          </w:tcPr>
          <w:p>
            <w:pPr>
              <w:pStyle w:val="TableParagraph"/>
              <w:spacing w:before="59"/>
              <w:ind w:left="87" w:right="178"/>
              <w:jc w:val="center"/>
              <w:rPr>
                <w:sz w:val="20"/>
              </w:rPr>
            </w:pPr>
            <w:r>
              <w:rPr>
                <w:sz w:val="20"/>
              </w:rPr>
              <w:t>A.6.1.1</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spacing w:line="229" w:lineRule="exact" w:before="59"/>
              <w:rPr>
                <w:sz w:val="20"/>
              </w:rPr>
            </w:pPr>
            <w:r>
              <w:rPr>
                <w:sz w:val="20"/>
              </w:rPr>
              <w:t>Informationssicherheitsrollen und</w:t>
            </w:r>
          </w:p>
          <w:p>
            <w:pPr>
              <w:pStyle w:val="TableParagraph"/>
              <w:spacing w:line="229" w:lineRule="exact" w:before="0"/>
              <w:rPr>
                <w:sz w:val="20"/>
              </w:rPr>
            </w:pPr>
            <w:r>
              <w:rPr>
                <w:sz w:val="20"/>
              </w:rPr>
              <w:t>-verantwortlichkeiten</w:t>
            </w:r>
          </w:p>
        </w:tc>
        <w:tc>
          <w:tcPr>
            <w:tcW w:w="5333" w:type="dxa"/>
            <w:tcBorders>
              <w:top w:val="single" w:sz="6" w:space="0" w:color="000000"/>
              <w:left w:val="single" w:sz="6" w:space="0" w:color="000000"/>
              <w:bottom w:val="single" w:sz="6" w:space="0" w:color="000000"/>
            </w:tcBorders>
          </w:tcPr>
          <w:p>
            <w:pPr>
              <w:pStyle w:val="TableParagraph"/>
              <w:spacing w:before="71"/>
              <w:rPr>
                <w:i/>
                <w:sz w:val="19"/>
              </w:rPr>
            </w:pPr>
            <w:r>
              <w:rPr>
                <w:i/>
                <w:sz w:val="19"/>
              </w:rPr>
              <w:t>Maßnahme</w:t>
            </w:r>
          </w:p>
          <w:p>
            <w:pPr>
              <w:pStyle w:val="TableParagraph"/>
              <w:tabs>
                <w:tab w:pos="744" w:val="left" w:leader="none"/>
                <w:tab w:pos="4865" w:val="left" w:leader="none"/>
              </w:tabs>
              <w:spacing w:before="58"/>
              <w:ind w:right="77"/>
              <w:rPr>
                <w:sz w:val="20"/>
              </w:rPr>
            </w:pPr>
            <w:r>
              <w:rPr>
                <w:sz w:val="20"/>
              </w:rPr>
              <w:t>Alle</w:t>
              <w:tab/>
              <w:t>Informationssicherheitsverantwortlichkeiten</w:t>
              <w:tab/>
            </w:r>
            <w:r>
              <w:rPr>
                <w:spacing w:val="-5"/>
                <w:sz w:val="20"/>
              </w:rPr>
              <w:t>sind </w:t>
            </w:r>
            <w:r>
              <w:rPr>
                <w:sz w:val="20"/>
              </w:rPr>
              <w:t>festgelegt und</w:t>
            </w:r>
            <w:r>
              <w:rPr>
                <w:spacing w:val="1"/>
                <w:sz w:val="20"/>
              </w:rPr>
              <w:t> </w:t>
            </w:r>
            <w:r>
              <w:rPr>
                <w:sz w:val="20"/>
              </w:rPr>
              <w:t>zugeordnet.</w:t>
            </w:r>
          </w:p>
        </w:tc>
      </w:tr>
      <w:tr>
        <w:trPr>
          <w:trHeight w:val="1559" w:hRule="atLeast"/>
        </w:trPr>
        <w:tc>
          <w:tcPr>
            <w:tcW w:w="962" w:type="dxa"/>
            <w:tcBorders>
              <w:top w:val="single" w:sz="6" w:space="0" w:color="000000"/>
              <w:bottom w:val="single" w:sz="6" w:space="0" w:color="000000"/>
              <w:right w:val="single" w:sz="6" w:space="0" w:color="000000"/>
            </w:tcBorders>
          </w:tcPr>
          <w:p>
            <w:pPr>
              <w:pStyle w:val="TableParagraph"/>
              <w:ind w:left="87" w:right="178"/>
              <w:jc w:val="center"/>
              <w:rPr>
                <w:sz w:val="20"/>
              </w:rPr>
            </w:pPr>
            <w:r>
              <w:rPr>
                <w:sz w:val="20"/>
              </w:rPr>
              <w:t>A.6.1.2</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rPr>
                <w:sz w:val="20"/>
              </w:rPr>
            </w:pPr>
            <w:r>
              <w:rPr>
                <w:sz w:val="20"/>
              </w:rPr>
              <w:t>Aufgabentrennung</w:t>
            </w:r>
          </w:p>
        </w:tc>
        <w:tc>
          <w:tcPr>
            <w:tcW w:w="5333" w:type="dxa"/>
            <w:tcBorders>
              <w:top w:val="single" w:sz="6" w:space="0" w:color="000000"/>
              <w:left w:val="single" w:sz="6" w:space="0" w:color="000000"/>
              <w:bottom w:val="single" w:sz="6" w:space="0" w:color="000000"/>
            </w:tcBorders>
          </w:tcPr>
          <w:p>
            <w:pPr>
              <w:pStyle w:val="TableParagraph"/>
              <w:spacing w:before="54"/>
              <w:rPr>
                <w:i/>
                <w:sz w:val="20"/>
              </w:rPr>
            </w:pPr>
            <w:r>
              <w:rPr>
                <w:i/>
                <w:sz w:val="20"/>
              </w:rPr>
              <w:t>Maßnahme</w:t>
            </w:r>
          </w:p>
          <w:p>
            <w:pPr>
              <w:pStyle w:val="TableParagraph"/>
              <w:spacing w:before="63"/>
              <w:ind w:right="77"/>
              <w:jc w:val="both"/>
              <w:rPr>
                <w:sz w:val="20"/>
              </w:rPr>
            </w:pPr>
            <w:r>
              <w:rPr>
                <w:sz w:val="20"/>
              </w:rPr>
              <w:t>Miteinander in Konflikt stehende Aufgaben und Verantwortlichkeitsbereiche sind getrennt, um die Möglichkeiten zu unbefugter oder unbeabsichtigter Änderung oder zum Missbrauch der Werte der Organisation zu reduzieren.</w:t>
            </w:r>
          </w:p>
        </w:tc>
      </w:tr>
      <w:tr>
        <w:trPr>
          <w:trHeight w:val="870" w:hRule="atLeast"/>
        </w:trPr>
        <w:tc>
          <w:tcPr>
            <w:tcW w:w="962" w:type="dxa"/>
            <w:tcBorders>
              <w:top w:val="single" w:sz="6" w:space="0" w:color="000000"/>
              <w:bottom w:val="single" w:sz="4" w:space="0" w:color="000000"/>
              <w:right w:val="single" w:sz="6" w:space="0" w:color="000000"/>
            </w:tcBorders>
          </w:tcPr>
          <w:p>
            <w:pPr>
              <w:pStyle w:val="TableParagraph"/>
              <w:spacing w:before="59"/>
              <w:ind w:left="87" w:right="178"/>
              <w:jc w:val="center"/>
              <w:rPr>
                <w:sz w:val="20"/>
              </w:rPr>
            </w:pPr>
            <w:r>
              <w:rPr>
                <w:sz w:val="20"/>
              </w:rPr>
              <w:t>A.6.1.3</w:t>
            </w:r>
          </w:p>
        </w:tc>
        <w:tc>
          <w:tcPr>
            <w:tcW w:w="3595" w:type="dxa"/>
            <w:tcBorders>
              <w:top w:val="single" w:sz="6" w:space="0" w:color="000000"/>
              <w:left w:val="single" w:sz="6" w:space="0" w:color="000000"/>
              <w:bottom w:val="single" w:sz="4" w:space="0" w:color="000000"/>
              <w:right w:val="single" w:sz="6" w:space="0" w:color="000000"/>
            </w:tcBorders>
          </w:tcPr>
          <w:p>
            <w:pPr>
              <w:pStyle w:val="TableParagraph"/>
              <w:spacing w:before="59"/>
              <w:rPr>
                <w:sz w:val="20"/>
              </w:rPr>
            </w:pPr>
            <w:r>
              <w:rPr>
                <w:sz w:val="20"/>
              </w:rPr>
              <w:t>Kontakt mit Behörden</w:t>
            </w:r>
          </w:p>
        </w:tc>
        <w:tc>
          <w:tcPr>
            <w:tcW w:w="5333" w:type="dxa"/>
            <w:tcBorders>
              <w:top w:val="single" w:sz="6" w:space="0" w:color="000000"/>
              <w:left w:val="single" w:sz="6" w:space="0" w:color="000000"/>
              <w:bottom w:val="single" w:sz="4" w:space="0" w:color="000000"/>
            </w:tcBorders>
          </w:tcPr>
          <w:p>
            <w:pPr>
              <w:pStyle w:val="TableParagraph"/>
              <w:spacing w:before="71"/>
              <w:rPr>
                <w:i/>
                <w:sz w:val="19"/>
              </w:rPr>
            </w:pPr>
            <w:r>
              <w:rPr>
                <w:i/>
                <w:sz w:val="19"/>
              </w:rPr>
              <w:t>Maßnahme</w:t>
            </w:r>
          </w:p>
          <w:p>
            <w:pPr>
              <w:pStyle w:val="TableParagraph"/>
              <w:spacing w:before="58"/>
              <w:rPr>
                <w:sz w:val="20"/>
              </w:rPr>
            </w:pPr>
            <w:r>
              <w:rPr>
                <w:sz w:val="20"/>
              </w:rPr>
              <w:t>Angemessene Kontakte mit relevanten Behörden werden gepflegt.</w:t>
            </w:r>
          </w:p>
        </w:tc>
      </w:tr>
      <w:tr>
        <w:trPr>
          <w:trHeight w:val="1331" w:hRule="atLeast"/>
        </w:trPr>
        <w:tc>
          <w:tcPr>
            <w:tcW w:w="962" w:type="dxa"/>
            <w:tcBorders>
              <w:top w:val="single" w:sz="4" w:space="0" w:color="000000"/>
              <w:bottom w:val="single" w:sz="6" w:space="0" w:color="000000"/>
              <w:right w:val="single" w:sz="6" w:space="0" w:color="000000"/>
            </w:tcBorders>
          </w:tcPr>
          <w:p>
            <w:pPr>
              <w:pStyle w:val="TableParagraph"/>
              <w:ind w:left="87" w:right="178"/>
              <w:jc w:val="center"/>
              <w:rPr>
                <w:sz w:val="20"/>
              </w:rPr>
            </w:pPr>
            <w:r>
              <w:rPr>
                <w:sz w:val="20"/>
              </w:rPr>
              <w:t>A.6.1.4</w:t>
            </w:r>
          </w:p>
        </w:tc>
        <w:tc>
          <w:tcPr>
            <w:tcW w:w="3595" w:type="dxa"/>
            <w:tcBorders>
              <w:top w:val="single" w:sz="4" w:space="0" w:color="000000"/>
              <w:left w:val="single" w:sz="6" w:space="0" w:color="000000"/>
              <w:bottom w:val="single" w:sz="6" w:space="0" w:color="000000"/>
              <w:right w:val="single" w:sz="6" w:space="0" w:color="000000"/>
            </w:tcBorders>
          </w:tcPr>
          <w:p>
            <w:pPr>
              <w:pStyle w:val="TableParagraph"/>
              <w:ind w:right="1499"/>
              <w:rPr>
                <w:sz w:val="20"/>
              </w:rPr>
            </w:pPr>
            <w:r>
              <w:rPr>
                <w:sz w:val="20"/>
              </w:rPr>
              <w:t>Kontakt mit speziellen Interessensgruppen</w:t>
            </w:r>
          </w:p>
        </w:tc>
        <w:tc>
          <w:tcPr>
            <w:tcW w:w="5333" w:type="dxa"/>
            <w:tcBorders>
              <w:top w:val="single" w:sz="4" w:space="0" w:color="000000"/>
              <w:left w:val="single" w:sz="6" w:space="0" w:color="000000"/>
              <w:bottom w:val="single" w:sz="6" w:space="0" w:color="000000"/>
            </w:tcBorders>
          </w:tcPr>
          <w:p>
            <w:pPr>
              <w:pStyle w:val="TableParagraph"/>
              <w:spacing w:before="68"/>
              <w:rPr>
                <w:i/>
                <w:sz w:val="19"/>
              </w:rPr>
            </w:pPr>
            <w:r>
              <w:rPr>
                <w:i/>
                <w:sz w:val="19"/>
              </w:rPr>
              <w:t>Maßnahme</w:t>
            </w:r>
          </w:p>
          <w:p>
            <w:pPr>
              <w:pStyle w:val="TableParagraph"/>
              <w:tabs>
                <w:tab w:pos="2025" w:val="left" w:leader="none"/>
                <w:tab w:pos="3445" w:val="left" w:leader="none"/>
                <w:tab w:pos="4345" w:val="left" w:leader="none"/>
              </w:tabs>
              <w:spacing w:before="61"/>
              <w:ind w:right="77"/>
              <w:jc w:val="both"/>
              <w:rPr>
                <w:sz w:val="20"/>
              </w:rPr>
            </w:pPr>
            <w:r>
              <w:rPr>
                <w:sz w:val="20"/>
              </w:rPr>
              <w:t>Angemessene</w:t>
              <w:tab/>
              <w:t>Kontakte</w:t>
              <w:tab/>
              <w:t>mit</w:t>
              <w:tab/>
            </w:r>
            <w:r>
              <w:rPr>
                <w:spacing w:val="-3"/>
                <w:sz w:val="20"/>
              </w:rPr>
              <w:t>speziellen </w:t>
            </w:r>
            <w:r>
              <w:rPr>
                <w:sz w:val="20"/>
              </w:rPr>
              <w:t>Interessensgruppen oder sonstigen sicherheits- orientierten Expertenforen und Fachverbänden werden gepflegt.</w:t>
            </w:r>
          </w:p>
        </w:tc>
      </w:tr>
    </w:tbl>
    <w:p>
      <w:pPr>
        <w:spacing w:after="0"/>
        <w:jc w:val="both"/>
        <w:rPr>
          <w:sz w:val="20"/>
        </w:rPr>
        <w:sectPr>
          <w:headerReference w:type="even" r:id="rId41"/>
          <w:headerReference w:type="default" r:id="rId42"/>
          <w:footerReference w:type="even" r:id="rId43"/>
          <w:pgSz w:w="11910" w:h="16840"/>
          <w:pgMar w:header="710" w:footer="120" w:top="1540" w:bottom="320" w:left="260" w:right="540"/>
          <w:pgNumType w:start="16"/>
        </w:sectPr>
      </w:pPr>
    </w:p>
    <w:p>
      <w:pPr>
        <w:pStyle w:val="BodyText"/>
        <w:spacing w:before="8"/>
        <w:rPr>
          <w:b/>
          <w:sz w:val="8"/>
        </w:rPr>
      </w:pPr>
    </w:p>
    <w:tbl>
      <w:tblPr>
        <w:tblW w:w="0" w:type="auto"/>
        <w:jc w:val="left"/>
        <w:tblInd w:w="1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
        <w:gridCol w:w="3595"/>
        <w:gridCol w:w="5333"/>
      </w:tblGrid>
      <w:tr>
        <w:trPr>
          <w:trHeight w:val="870" w:hRule="atLeast"/>
        </w:trPr>
        <w:tc>
          <w:tcPr>
            <w:tcW w:w="962" w:type="dxa"/>
            <w:tcBorders>
              <w:left w:val="single" w:sz="12" w:space="0" w:color="000000"/>
            </w:tcBorders>
          </w:tcPr>
          <w:p>
            <w:pPr>
              <w:pStyle w:val="TableParagraph"/>
              <w:ind w:left="109"/>
              <w:rPr>
                <w:sz w:val="20"/>
              </w:rPr>
            </w:pPr>
            <w:r>
              <w:rPr>
                <w:sz w:val="20"/>
              </w:rPr>
              <w:t>A.6.1.5</w:t>
            </w:r>
          </w:p>
        </w:tc>
        <w:tc>
          <w:tcPr>
            <w:tcW w:w="3595" w:type="dxa"/>
          </w:tcPr>
          <w:p>
            <w:pPr>
              <w:pStyle w:val="TableParagraph"/>
              <w:ind w:left="117" w:right="475"/>
              <w:rPr>
                <w:sz w:val="20"/>
              </w:rPr>
            </w:pPr>
            <w:r>
              <w:rPr>
                <w:sz w:val="20"/>
              </w:rPr>
              <w:t>Informationssicherheit im Projekt- management</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tabs>
                <w:tab w:pos="2334" w:val="left" w:leader="none"/>
                <w:tab w:pos="2965" w:val="left" w:leader="none"/>
                <w:tab w:pos="3443" w:val="left" w:leader="none"/>
              </w:tabs>
              <w:spacing w:before="63"/>
              <w:ind w:right="125"/>
              <w:rPr>
                <w:sz w:val="20"/>
              </w:rPr>
            </w:pPr>
            <w:r>
              <w:rPr>
                <w:sz w:val="20"/>
              </w:rPr>
              <w:t>Informationssicherheit</w:t>
              <w:tab/>
              <w:t>wird</w:t>
              <w:tab/>
              <w:t>im</w:t>
              <w:tab/>
            </w:r>
            <w:r>
              <w:rPr>
                <w:w w:val="95"/>
                <w:sz w:val="20"/>
              </w:rPr>
              <w:t>Projektmanagement </w:t>
            </w:r>
            <w:r>
              <w:rPr>
                <w:sz w:val="20"/>
              </w:rPr>
              <w:t>berücksichtigt, ungeachtet der Art des</w:t>
            </w:r>
            <w:r>
              <w:rPr>
                <w:spacing w:val="-6"/>
                <w:sz w:val="20"/>
              </w:rPr>
              <w:t> </w:t>
            </w:r>
            <w:r>
              <w:rPr>
                <w:sz w:val="20"/>
              </w:rPr>
              <w:t>Projekts.</w:t>
            </w:r>
          </w:p>
        </w:tc>
      </w:tr>
      <w:tr>
        <w:trPr>
          <w:trHeight w:val="661" w:hRule="atLeast"/>
        </w:trPr>
        <w:tc>
          <w:tcPr>
            <w:tcW w:w="9890" w:type="dxa"/>
            <w:gridSpan w:val="3"/>
            <w:tcBorders>
              <w:left w:val="single" w:sz="12" w:space="0" w:color="000000"/>
              <w:right w:val="single" w:sz="12" w:space="0" w:color="000000"/>
            </w:tcBorders>
          </w:tcPr>
          <w:p>
            <w:pPr>
              <w:pStyle w:val="TableParagraph"/>
              <w:tabs>
                <w:tab w:pos="908" w:val="left" w:leader="none"/>
              </w:tabs>
              <w:spacing w:before="56"/>
              <w:ind w:left="109"/>
              <w:rPr>
                <w:b/>
                <w:sz w:val="20"/>
              </w:rPr>
            </w:pPr>
            <w:r>
              <w:rPr>
                <w:b/>
                <w:sz w:val="20"/>
              </w:rPr>
              <w:t>A.6.2</w:t>
              <w:tab/>
              <w:t>Mobilgeräte</w:t>
            </w:r>
            <w:hyperlink w:history="true" w:anchor="_bookmark38">
              <w:r>
                <w:rPr>
                  <w:b/>
                  <w:position w:val="6"/>
                  <w:sz w:val="16"/>
                </w:rPr>
                <w:t>N1) </w:t>
              </w:r>
            </w:hyperlink>
            <w:r>
              <w:rPr>
                <w:b/>
                <w:sz w:val="20"/>
              </w:rPr>
              <w:t>und</w:t>
            </w:r>
            <w:r>
              <w:rPr>
                <w:b/>
                <w:spacing w:val="11"/>
                <w:sz w:val="20"/>
              </w:rPr>
              <w:t> </w:t>
            </w:r>
            <w:r>
              <w:rPr>
                <w:b/>
                <w:sz w:val="20"/>
              </w:rPr>
              <w:t>Telearbeit</w:t>
            </w:r>
          </w:p>
          <w:p>
            <w:pPr>
              <w:pStyle w:val="TableParagraph"/>
              <w:spacing w:before="60"/>
              <w:ind w:left="109"/>
              <w:rPr>
                <w:sz w:val="20"/>
              </w:rPr>
            </w:pPr>
            <w:r>
              <w:rPr>
                <w:sz w:val="20"/>
              </w:rPr>
              <w:t>Ziel: Die Informationssicherheit bei Telearbeit und der Nutzung von Mobilgeräten ist sichergestellt.</w:t>
            </w:r>
          </w:p>
        </w:tc>
      </w:tr>
      <w:tr>
        <w:trPr>
          <w:trHeight w:val="1329" w:hRule="atLeast"/>
        </w:trPr>
        <w:tc>
          <w:tcPr>
            <w:tcW w:w="962" w:type="dxa"/>
            <w:tcBorders>
              <w:left w:val="single" w:sz="12" w:space="0" w:color="000000"/>
            </w:tcBorders>
          </w:tcPr>
          <w:p>
            <w:pPr>
              <w:pStyle w:val="TableParagraph"/>
              <w:ind w:left="109"/>
              <w:rPr>
                <w:sz w:val="20"/>
              </w:rPr>
            </w:pPr>
            <w:r>
              <w:rPr>
                <w:sz w:val="20"/>
              </w:rPr>
              <w:t>A.6.2.1</w:t>
            </w:r>
          </w:p>
        </w:tc>
        <w:tc>
          <w:tcPr>
            <w:tcW w:w="3595" w:type="dxa"/>
          </w:tcPr>
          <w:p>
            <w:pPr>
              <w:pStyle w:val="TableParagraph"/>
              <w:ind w:left="117"/>
              <w:rPr>
                <w:sz w:val="20"/>
              </w:rPr>
            </w:pPr>
            <w:r>
              <w:rPr>
                <w:sz w:val="20"/>
              </w:rPr>
              <w:t>Richtlinie zu Mobilgeräten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tabs>
                <w:tab w:pos="1262" w:val="left" w:leader="none"/>
                <w:tab w:pos="2824" w:val="left" w:leader="none"/>
                <w:tab w:pos="3907" w:val="left" w:leader="none"/>
              </w:tabs>
              <w:spacing w:before="63"/>
              <w:ind w:right="79"/>
              <w:jc w:val="both"/>
              <w:rPr>
                <w:sz w:val="20"/>
              </w:rPr>
            </w:pPr>
            <w:r>
              <w:rPr>
                <w:sz w:val="20"/>
              </w:rPr>
              <w:t>Eine</w:t>
              <w:tab/>
              <w:t>Richtlinie</w:t>
              <w:tab/>
              <w:t>und</w:t>
              <w:tab/>
            </w:r>
            <w:r>
              <w:rPr>
                <w:w w:val="95"/>
                <w:sz w:val="20"/>
              </w:rPr>
              <w:t>unterstützende </w:t>
            </w:r>
            <w:r>
              <w:rPr>
                <w:sz w:val="20"/>
              </w:rPr>
              <w:t>Sicherheitsmaßnahmen sind umgesetzt, um die Risiken, welche durch die Nutzung von Mobilgeräten bedingt sind, zu handhaben.</w:t>
            </w:r>
          </w:p>
        </w:tc>
      </w:tr>
      <w:tr>
        <w:trPr>
          <w:trHeight w:val="1331" w:hRule="atLeast"/>
        </w:trPr>
        <w:tc>
          <w:tcPr>
            <w:tcW w:w="962" w:type="dxa"/>
            <w:tcBorders>
              <w:left w:val="single" w:sz="12" w:space="0" w:color="000000"/>
            </w:tcBorders>
          </w:tcPr>
          <w:p>
            <w:pPr>
              <w:pStyle w:val="TableParagraph"/>
              <w:spacing w:before="59"/>
              <w:ind w:left="109"/>
              <w:rPr>
                <w:sz w:val="20"/>
              </w:rPr>
            </w:pPr>
            <w:r>
              <w:rPr>
                <w:sz w:val="20"/>
              </w:rPr>
              <w:t>A.6.2.2</w:t>
            </w:r>
          </w:p>
        </w:tc>
        <w:tc>
          <w:tcPr>
            <w:tcW w:w="3595" w:type="dxa"/>
          </w:tcPr>
          <w:p>
            <w:pPr>
              <w:pStyle w:val="TableParagraph"/>
              <w:spacing w:before="59"/>
              <w:ind w:left="117"/>
              <w:rPr>
                <w:sz w:val="20"/>
              </w:rPr>
            </w:pPr>
            <w:r>
              <w:rPr>
                <w:sz w:val="20"/>
              </w:rPr>
              <w:t>Telearbeit</w:t>
            </w:r>
          </w:p>
        </w:tc>
        <w:tc>
          <w:tcPr>
            <w:tcW w:w="5333" w:type="dxa"/>
            <w:tcBorders>
              <w:right w:val="single" w:sz="12" w:space="0" w:color="000000"/>
            </w:tcBorders>
          </w:tcPr>
          <w:p>
            <w:pPr>
              <w:pStyle w:val="TableParagraph"/>
              <w:rPr>
                <w:i/>
                <w:sz w:val="20"/>
              </w:rPr>
            </w:pPr>
            <w:r>
              <w:rPr>
                <w:i/>
                <w:sz w:val="20"/>
              </w:rPr>
              <w:t>Maßnahme</w:t>
            </w:r>
          </w:p>
          <w:p>
            <w:pPr>
              <w:pStyle w:val="TableParagraph"/>
              <w:spacing w:before="62"/>
              <w:ind w:right="74"/>
              <w:jc w:val="both"/>
              <w:rPr>
                <w:sz w:val="20"/>
              </w:rPr>
            </w:pPr>
            <w:r>
              <w:rPr>
                <w:sz w:val="20"/>
              </w:rPr>
              <w:t>Eine Richtlinie und unterstützende Sicherheits- maßnahmen zum Schutz von Information, auf die von Telearbeitsplätzen aus zugegriffen wird oder die dort verarbeitet oder gespeichert werden, sind umgesetzt.</w:t>
            </w:r>
          </w:p>
        </w:tc>
      </w:tr>
      <w:tr>
        <w:trPr>
          <w:trHeight w:val="349" w:hRule="atLeast"/>
        </w:trPr>
        <w:tc>
          <w:tcPr>
            <w:tcW w:w="9890" w:type="dxa"/>
            <w:gridSpan w:val="3"/>
            <w:tcBorders>
              <w:left w:val="single" w:sz="12" w:space="0" w:color="000000"/>
              <w:right w:val="single" w:sz="12" w:space="0" w:color="000000"/>
            </w:tcBorders>
          </w:tcPr>
          <w:p>
            <w:pPr>
              <w:pStyle w:val="TableParagraph"/>
              <w:spacing w:before="54"/>
              <w:ind w:left="109"/>
              <w:rPr>
                <w:b/>
                <w:sz w:val="20"/>
              </w:rPr>
            </w:pPr>
            <w:r>
              <w:rPr>
                <w:b/>
                <w:sz w:val="20"/>
              </w:rPr>
              <w:t>A.7 Personalsicherheit</w:t>
            </w:r>
          </w:p>
        </w:tc>
      </w:tr>
      <w:tr>
        <w:trPr>
          <w:trHeight w:val="870" w:hRule="atLeast"/>
        </w:trPr>
        <w:tc>
          <w:tcPr>
            <w:tcW w:w="9890" w:type="dxa"/>
            <w:gridSpan w:val="3"/>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A.7.1</w:t>
              <w:tab/>
              <w:t>Vor der</w:t>
            </w:r>
            <w:r>
              <w:rPr>
                <w:b/>
                <w:spacing w:val="-4"/>
                <w:sz w:val="20"/>
              </w:rPr>
              <w:t> </w:t>
            </w:r>
            <w:r>
              <w:rPr>
                <w:b/>
                <w:sz w:val="20"/>
              </w:rPr>
              <w:t>Beschäftigung</w:t>
            </w:r>
          </w:p>
          <w:p>
            <w:pPr>
              <w:pStyle w:val="TableParagraph"/>
              <w:spacing w:before="63"/>
              <w:ind w:left="109" w:right="74"/>
              <w:rPr>
                <w:sz w:val="20"/>
              </w:rPr>
            </w:pPr>
            <w:r>
              <w:rPr>
                <w:sz w:val="20"/>
              </w:rPr>
              <w:t>Ziel: Es ist sichergestellt, dass Beschäftigte und Auftragnehmer ihre Verantwortlichkeiten verstehen und für die für sie vorgesehenen Rollen geeignet sind.</w:t>
            </w:r>
          </w:p>
        </w:tc>
      </w:tr>
      <w:tr>
        <w:trPr>
          <w:trHeight w:val="2020" w:hRule="atLeast"/>
        </w:trPr>
        <w:tc>
          <w:tcPr>
            <w:tcW w:w="962" w:type="dxa"/>
            <w:tcBorders>
              <w:left w:val="single" w:sz="12" w:space="0" w:color="000000"/>
            </w:tcBorders>
          </w:tcPr>
          <w:p>
            <w:pPr>
              <w:pStyle w:val="TableParagraph"/>
              <w:ind w:left="109"/>
              <w:rPr>
                <w:sz w:val="20"/>
              </w:rPr>
            </w:pPr>
            <w:r>
              <w:rPr>
                <w:sz w:val="20"/>
              </w:rPr>
              <w:t>A.7.1.1</w:t>
            </w:r>
          </w:p>
        </w:tc>
        <w:tc>
          <w:tcPr>
            <w:tcW w:w="3595" w:type="dxa"/>
          </w:tcPr>
          <w:p>
            <w:pPr>
              <w:pStyle w:val="TableParagraph"/>
              <w:ind w:left="117"/>
              <w:rPr>
                <w:sz w:val="20"/>
              </w:rPr>
            </w:pPr>
            <w:r>
              <w:rPr>
                <w:sz w:val="20"/>
              </w:rPr>
              <w:t>Sicherheitsüberprüfung</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6"/>
              <w:jc w:val="both"/>
              <w:rPr>
                <w:sz w:val="20"/>
              </w:rPr>
            </w:pPr>
            <w:r>
              <w:rPr>
                <w:sz w:val="20"/>
              </w:rPr>
              <w:t>Alle Personen, die sich um eine Beschäftigung bewerben, werden einer Sicherheitsüberprüfung unterzogen, die im Einklang mit den relevanten Gesetzen, Vorschriften und ethischen Grundsätzen sowie in einem angemessenen Verhältnis zu den geschäftlichen Anforderungen, der Einstufung der einzuholenden Information und den wahrgenommenen Risiken ist.</w:t>
            </w:r>
          </w:p>
        </w:tc>
      </w:tr>
      <w:tr>
        <w:trPr>
          <w:trHeight w:val="1098" w:hRule="atLeast"/>
        </w:trPr>
        <w:tc>
          <w:tcPr>
            <w:tcW w:w="962" w:type="dxa"/>
            <w:tcBorders>
              <w:left w:val="single" w:sz="12" w:space="0" w:color="000000"/>
              <w:bottom w:val="single" w:sz="4" w:space="0" w:color="000000"/>
            </w:tcBorders>
          </w:tcPr>
          <w:p>
            <w:pPr>
              <w:pStyle w:val="TableParagraph"/>
              <w:ind w:left="109"/>
              <w:rPr>
                <w:sz w:val="20"/>
              </w:rPr>
            </w:pPr>
            <w:r>
              <w:rPr>
                <w:sz w:val="20"/>
              </w:rPr>
              <w:t>A.7.1.2</w:t>
            </w:r>
          </w:p>
        </w:tc>
        <w:tc>
          <w:tcPr>
            <w:tcW w:w="3595" w:type="dxa"/>
            <w:tcBorders>
              <w:bottom w:val="single" w:sz="4" w:space="0" w:color="000000"/>
            </w:tcBorders>
          </w:tcPr>
          <w:p>
            <w:pPr>
              <w:pStyle w:val="TableParagraph"/>
              <w:ind w:left="117"/>
              <w:rPr>
                <w:sz w:val="20"/>
              </w:rPr>
            </w:pPr>
            <w:r>
              <w:rPr>
                <w:sz w:val="20"/>
              </w:rPr>
              <w:t>Beschäftigungs- und </w:t>
            </w:r>
            <w:r>
              <w:rPr>
                <w:w w:val="95"/>
                <w:sz w:val="20"/>
              </w:rPr>
              <w:t>Vertragsbedingungen</w:t>
            </w:r>
          </w:p>
        </w:tc>
        <w:tc>
          <w:tcPr>
            <w:tcW w:w="5333" w:type="dxa"/>
            <w:tcBorders>
              <w:bottom w:val="single" w:sz="4" w:space="0" w:color="000000"/>
              <w:right w:val="single" w:sz="12" w:space="0" w:color="000000"/>
            </w:tcBorders>
          </w:tcPr>
          <w:p>
            <w:pPr>
              <w:pStyle w:val="TableParagraph"/>
              <w:spacing w:before="54"/>
              <w:rPr>
                <w:i/>
                <w:sz w:val="20"/>
              </w:rPr>
            </w:pPr>
            <w:r>
              <w:rPr>
                <w:i/>
                <w:sz w:val="20"/>
              </w:rPr>
              <w:t>Maßnahme</w:t>
            </w:r>
          </w:p>
          <w:p>
            <w:pPr>
              <w:pStyle w:val="TableParagraph"/>
              <w:spacing w:before="63"/>
              <w:ind w:right="78"/>
              <w:jc w:val="both"/>
              <w:rPr>
                <w:sz w:val="20"/>
              </w:rPr>
            </w:pPr>
            <w:r>
              <w:rPr>
                <w:sz w:val="20"/>
              </w:rPr>
              <w:t>In den vertraglichen Vereinbarungen mit Beschäftigten und Auftragnehmern sind deren Verantwortlichkeiten und diejenigen der Organisation festgelegt.</w:t>
            </w:r>
          </w:p>
        </w:tc>
      </w:tr>
      <w:tr>
        <w:trPr>
          <w:trHeight w:val="870" w:hRule="atLeast"/>
        </w:trPr>
        <w:tc>
          <w:tcPr>
            <w:tcW w:w="9890" w:type="dxa"/>
            <w:gridSpan w:val="3"/>
            <w:tcBorders>
              <w:top w:val="single" w:sz="4" w:space="0" w:color="000000"/>
              <w:left w:val="single" w:sz="12" w:space="0" w:color="000000"/>
              <w:bottom w:val="single" w:sz="4" w:space="0" w:color="000000"/>
              <w:right w:val="single" w:sz="12" w:space="0" w:color="000000"/>
            </w:tcBorders>
          </w:tcPr>
          <w:p>
            <w:pPr>
              <w:pStyle w:val="TableParagraph"/>
              <w:tabs>
                <w:tab w:pos="908" w:val="left" w:leader="none"/>
              </w:tabs>
              <w:spacing w:before="54"/>
              <w:ind w:left="109"/>
              <w:rPr>
                <w:b/>
                <w:sz w:val="20"/>
              </w:rPr>
            </w:pPr>
            <w:r>
              <w:rPr>
                <w:b/>
                <w:sz w:val="20"/>
              </w:rPr>
              <w:t>A.7.2</w:t>
              <w:tab/>
              <w:t>Während der Beschäftigung</w:t>
            </w:r>
          </w:p>
          <w:p>
            <w:pPr>
              <w:pStyle w:val="TableParagraph"/>
              <w:spacing w:before="63"/>
              <w:ind w:left="109"/>
              <w:rPr>
                <w:sz w:val="20"/>
              </w:rPr>
            </w:pPr>
            <w:r>
              <w:rPr>
                <w:sz w:val="20"/>
              </w:rPr>
              <w:t>Ziel: Es ist sichergestellt, dass Beschäftigte und Auftragnehmer sich ihrer Verantwortlichkeiten bezüglich der Informationssicherheit bewusst sind und diesen nachkommen.</w:t>
            </w:r>
          </w:p>
        </w:tc>
      </w:tr>
      <w:tr>
        <w:trPr>
          <w:trHeight w:val="1329" w:hRule="atLeast"/>
        </w:trPr>
        <w:tc>
          <w:tcPr>
            <w:tcW w:w="962" w:type="dxa"/>
            <w:tcBorders>
              <w:top w:val="single" w:sz="4" w:space="0" w:color="000000"/>
              <w:left w:val="single" w:sz="12" w:space="0" w:color="000000"/>
            </w:tcBorders>
          </w:tcPr>
          <w:p>
            <w:pPr>
              <w:pStyle w:val="TableParagraph"/>
              <w:ind w:left="109"/>
              <w:rPr>
                <w:sz w:val="20"/>
              </w:rPr>
            </w:pPr>
            <w:r>
              <w:rPr>
                <w:sz w:val="20"/>
              </w:rPr>
              <w:t>A.7.2.1</w:t>
            </w:r>
          </w:p>
        </w:tc>
        <w:tc>
          <w:tcPr>
            <w:tcW w:w="3595" w:type="dxa"/>
            <w:tcBorders>
              <w:top w:val="single" w:sz="4" w:space="0" w:color="000000"/>
            </w:tcBorders>
          </w:tcPr>
          <w:p>
            <w:pPr>
              <w:pStyle w:val="TableParagraph"/>
              <w:ind w:left="117"/>
              <w:rPr>
                <w:sz w:val="20"/>
              </w:rPr>
            </w:pPr>
            <w:r>
              <w:rPr>
                <w:sz w:val="20"/>
              </w:rPr>
              <w:t>Verantwortlichkeiten der Leitung</w:t>
            </w:r>
          </w:p>
        </w:tc>
        <w:tc>
          <w:tcPr>
            <w:tcW w:w="5333" w:type="dxa"/>
            <w:tcBorders>
              <w:top w:val="single" w:sz="4" w:space="0" w:color="000000"/>
              <w:right w:val="single" w:sz="12" w:space="0" w:color="000000"/>
            </w:tcBorders>
          </w:tcPr>
          <w:p>
            <w:pPr>
              <w:pStyle w:val="TableParagraph"/>
              <w:spacing w:before="54"/>
              <w:rPr>
                <w:i/>
                <w:sz w:val="20"/>
              </w:rPr>
            </w:pPr>
            <w:r>
              <w:rPr>
                <w:i/>
                <w:sz w:val="20"/>
              </w:rPr>
              <w:t>Maßnahme</w:t>
            </w:r>
          </w:p>
          <w:p>
            <w:pPr>
              <w:pStyle w:val="TableParagraph"/>
              <w:spacing w:before="63"/>
              <w:ind w:right="73"/>
              <w:jc w:val="both"/>
              <w:rPr>
                <w:sz w:val="20"/>
              </w:rPr>
            </w:pPr>
            <w:r>
              <w:rPr>
                <w:sz w:val="20"/>
              </w:rPr>
              <w:t>Die Leitung verlangt von allen Beschäftigten und Auftragnehmern, dass sie die Informationssicherheit im Einklang mit den eingeführten Richtlinien und Verfahren der Organisation umsetzen.</w:t>
            </w:r>
          </w:p>
        </w:tc>
      </w:tr>
      <w:tr>
        <w:trPr>
          <w:trHeight w:val="1791" w:hRule="atLeast"/>
        </w:trPr>
        <w:tc>
          <w:tcPr>
            <w:tcW w:w="962" w:type="dxa"/>
            <w:tcBorders>
              <w:left w:val="single" w:sz="12" w:space="0" w:color="000000"/>
              <w:bottom w:val="single" w:sz="12" w:space="0" w:color="000000"/>
            </w:tcBorders>
          </w:tcPr>
          <w:p>
            <w:pPr>
              <w:pStyle w:val="TableParagraph"/>
              <w:ind w:left="109"/>
              <w:rPr>
                <w:sz w:val="20"/>
              </w:rPr>
            </w:pPr>
            <w:r>
              <w:rPr>
                <w:sz w:val="20"/>
              </w:rPr>
              <w:t>A.7.2.2</w:t>
            </w:r>
          </w:p>
        </w:tc>
        <w:tc>
          <w:tcPr>
            <w:tcW w:w="3595" w:type="dxa"/>
            <w:tcBorders>
              <w:bottom w:val="single" w:sz="12" w:space="0" w:color="000000"/>
            </w:tcBorders>
          </w:tcPr>
          <w:p>
            <w:pPr>
              <w:pStyle w:val="TableParagraph"/>
              <w:ind w:left="117" w:right="108"/>
              <w:rPr>
                <w:sz w:val="20"/>
              </w:rPr>
            </w:pPr>
            <w:r>
              <w:rPr>
                <w:sz w:val="20"/>
              </w:rPr>
              <w:t>Informationssicherheitsbewusstsein, - ausbildung und -schulung</w:t>
            </w:r>
          </w:p>
        </w:tc>
        <w:tc>
          <w:tcPr>
            <w:tcW w:w="5333" w:type="dxa"/>
            <w:tcBorders>
              <w:bottom w:val="single" w:sz="12" w:space="0" w:color="000000"/>
              <w:right w:val="single" w:sz="12" w:space="0" w:color="000000"/>
            </w:tcBorders>
          </w:tcPr>
          <w:p>
            <w:pPr>
              <w:pStyle w:val="TableParagraph"/>
              <w:spacing w:before="54"/>
              <w:rPr>
                <w:i/>
                <w:sz w:val="20"/>
              </w:rPr>
            </w:pPr>
            <w:r>
              <w:rPr>
                <w:i/>
                <w:sz w:val="20"/>
              </w:rPr>
              <w:t>Maßnahme</w:t>
            </w:r>
          </w:p>
          <w:p>
            <w:pPr>
              <w:pStyle w:val="TableParagraph"/>
              <w:spacing w:before="63"/>
              <w:ind w:right="77"/>
              <w:jc w:val="both"/>
              <w:rPr>
                <w:sz w:val="20"/>
              </w:rPr>
            </w:pPr>
            <w:r>
              <w:rPr>
                <w:sz w:val="20"/>
              </w:rPr>
              <w:t>Alle Beschäftigten der Organisation und, wenn relevant, Auftragnehmer, bekommen ein angemessenes Bewusstsein durch Ausbildung und Schulung sowie regelmäßige Aktualisierungen zu den Richtlinien und Verfahren der Organisation, die für ihr berufliches Arbeitsgebiet relevant sind.</w:t>
            </w:r>
          </w:p>
        </w:tc>
      </w:tr>
    </w:tbl>
    <w:p>
      <w:pPr>
        <w:pStyle w:val="BodyText"/>
        <w:spacing w:before="3"/>
        <w:rPr>
          <w:b/>
          <w:sz w:val="28"/>
        </w:rPr>
      </w:pPr>
      <w:r>
        <w:rPr/>
        <w:pict>
          <v:shape style="position:absolute;margin-left:70.800003pt;margin-top:18.479500pt;width:144pt;height:.1pt;mso-position-horizontal-relative:page;mso-position-vertical-relative:paragraph;z-index:-251641856;mso-wrap-distance-left:0;mso-wrap-distance-right:0" coordorigin="1416,370" coordsize="2880,0" path="m1416,370l4296,370e" filled="false" stroked="true" strokeweight=".481pt" strokecolor="#000000">
            <v:path arrowok="t"/>
            <v:stroke dashstyle="solid"/>
            <w10:wrap type="topAndBottom"/>
          </v:shape>
        </w:pict>
      </w:r>
    </w:p>
    <w:p>
      <w:pPr>
        <w:pStyle w:val="BodyText"/>
        <w:spacing w:before="4"/>
        <w:rPr>
          <w:b/>
          <w:sz w:val="17"/>
        </w:rPr>
      </w:pPr>
    </w:p>
    <w:p>
      <w:pPr>
        <w:spacing w:before="96"/>
        <w:ind w:left="1156" w:right="0" w:firstLine="0"/>
        <w:jc w:val="left"/>
        <w:rPr>
          <w:sz w:val="18"/>
        </w:rPr>
      </w:pPr>
      <w:r>
        <w:rPr/>
        <w:pict>
          <v:shape style="position:absolute;margin-left:9.663086pt;margin-top:-8.545554pt;width:9.85pt;height:83.7pt;mso-position-horizontal-relative:page;mso-position-vertical-relative:paragraph;z-index:-254701568"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bookmarkStart w:name="_bookmark38" w:id="126"/>
      <w:bookmarkEnd w:id="126"/>
      <w:r>
        <w:rPr/>
      </w:r>
      <w:r>
        <w:rPr>
          <w:position w:val="6"/>
          <w:sz w:val="16"/>
        </w:rPr>
        <w:t>N1) </w:t>
      </w:r>
      <w:r>
        <w:rPr>
          <w:sz w:val="18"/>
        </w:rPr>
        <w:t>Mobilgeräte umfassen mobile Endgeräte jeder Art (Smartphones, Tablets, Laptops, Netbooks, etc.)</w:t>
      </w:r>
    </w:p>
    <w:p>
      <w:pPr>
        <w:pStyle w:val="BodyText"/>
      </w:pPr>
    </w:p>
    <w:p>
      <w:pPr>
        <w:pStyle w:val="BodyText"/>
      </w:pPr>
    </w:p>
    <w:p>
      <w:pPr>
        <w:pStyle w:val="BodyText"/>
        <w:spacing w:before="7"/>
        <w:rPr>
          <w:sz w:val="22"/>
        </w:rPr>
      </w:pPr>
    </w:p>
    <w:p>
      <w:pPr>
        <w:spacing w:before="1"/>
        <w:ind w:left="0" w:right="197" w:firstLine="0"/>
        <w:jc w:val="right"/>
        <w:rPr>
          <w:b/>
          <w:sz w:val="22"/>
        </w:rPr>
      </w:pPr>
      <w:r>
        <w:rPr>
          <w:b/>
          <w:sz w:val="22"/>
        </w:rPr>
        <w:t>17</w:t>
      </w:r>
    </w:p>
    <w:p>
      <w:pPr>
        <w:spacing w:after="0"/>
        <w:jc w:val="right"/>
        <w:rPr>
          <w:sz w:val="22"/>
        </w:rPr>
        <w:sectPr>
          <w:footerReference w:type="default" r:id="rId44"/>
          <w:pgSz w:w="11910" w:h="16840"/>
          <w:pgMar w:footer="0" w:header="710" w:top="1540" w:bottom="280" w:left="260" w:right="540"/>
        </w:sectPr>
      </w:pPr>
    </w:p>
    <w:p>
      <w:pPr>
        <w:pStyle w:val="BodyText"/>
        <w:spacing w:before="8"/>
        <w:rPr>
          <w:b/>
          <w:sz w:val="8"/>
        </w:rPr>
      </w:pPr>
      <w:r>
        <w:rPr/>
        <w:pict>
          <v:shape style="position:absolute;margin-left:9.663086pt;margin-top:739.23053pt;width:9.85pt;height:83.7pt;mso-position-horizontal-relative:page;mso-position-vertical-relative:page;z-index:251676672"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p>
    <w:tbl>
      <w:tblPr>
        <w:tblW w:w="0" w:type="auto"/>
        <w:jc w:val="left"/>
        <w:tblInd w:w="4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62"/>
        <w:gridCol w:w="3595"/>
        <w:gridCol w:w="5333"/>
      </w:tblGrid>
      <w:tr>
        <w:trPr>
          <w:trHeight w:val="1331" w:hRule="atLeast"/>
        </w:trPr>
        <w:tc>
          <w:tcPr>
            <w:tcW w:w="962" w:type="dxa"/>
            <w:tcBorders>
              <w:bottom w:val="single" w:sz="6" w:space="0" w:color="000000"/>
              <w:right w:val="single" w:sz="6" w:space="0" w:color="000000"/>
            </w:tcBorders>
          </w:tcPr>
          <w:p>
            <w:pPr>
              <w:pStyle w:val="TableParagraph"/>
              <w:spacing w:before="56"/>
              <w:ind w:left="87" w:right="178"/>
              <w:jc w:val="center"/>
              <w:rPr>
                <w:sz w:val="20"/>
              </w:rPr>
            </w:pPr>
            <w:r>
              <w:rPr>
                <w:sz w:val="20"/>
              </w:rPr>
              <w:t>A.7.2.3</w:t>
            </w:r>
          </w:p>
        </w:tc>
        <w:tc>
          <w:tcPr>
            <w:tcW w:w="3595" w:type="dxa"/>
            <w:tcBorders>
              <w:left w:val="single" w:sz="6" w:space="0" w:color="000000"/>
              <w:bottom w:val="single" w:sz="6" w:space="0" w:color="000000"/>
              <w:right w:val="single" w:sz="6" w:space="0" w:color="000000"/>
            </w:tcBorders>
          </w:tcPr>
          <w:p>
            <w:pPr>
              <w:pStyle w:val="TableParagraph"/>
              <w:spacing w:before="56"/>
              <w:rPr>
                <w:sz w:val="20"/>
              </w:rPr>
            </w:pPr>
            <w:r>
              <w:rPr>
                <w:sz w:val="20"/>
              </w:rPr>
              <w:t>Maßregelungsprozess</w:t>
            </w:r>
          </w:p>
        </w:tc>
        <w:tc>
          <w:tcPr>
            <w:tcW w:w="5333" w:type="dxa"/>
            <w:tcBorders>
              <w:left w:val="single" w:sz="6" w:space="0" w:color="000000"/>
              <w:bottom w:val="single" w:sz="6" w:space="0" w:color="000000"/>
            </w:tcBorders>
          </w:tcPr>
          <w:p>
            <w:pPr>
              <w:pStyle w:val="TableParagraph"/>
              <w:spacing w:before="54"/>
              <w:rPr>
                <w:i/>
                <w:sz w:val="20"/>
              </w:rPr>
            </w:pPr>
            <w:r>
              <w:rPr>
                <w:i/>
                <w:sz w:val="20"/>
              </w:rPr>
              <w:t>Maßnahme</w:t>
            </w:r>
          </w:p>
          <w:p>
            <w:pPr>
              <w:pStyle w:val="TableParagraph"/>
              <w:spacing w:before="63"/>
              <w:ind w:right="74"/>
              <w:jc w:val="both"/>
              <w:rPr>
                <w:sz w:val="20"/>
              </w:rPr>
            </w:pPr>
            <w:r>
              <w:rPr>
                <w:sz w:val="20"/>
              </w:rPr>
              <w:t>Ein formal festgelegter und bekanntgegebener Maßregelungsprozess ist eingerichtet, um Maßnahmen gegen Beschäftigte zu ergreifen, die einen Informationssicherheitsverstoß begangen haben.</w:t>
            </w:r>
          </w:p>
        </w:tc>
      </w:tr>
      <w:tr>
        <w:trPr>
          <w:trHeight w:val="868" w:hRule="atLeast"/>
        </w:trPr>
        <w:tc>
          <w:tcPr>
            <w:tcW w:w="9890" w:type="dxa"/>
            <w:gridSpan w:val="3"/>
            <w:tcBorders>
              <w:top w:val="single" w:sz="6" w:space="0" w:color="000000"/>
              <w:bottom w:val="single" w:sz="6" w:space="0" w:color="000000"/>
            </w:tcBorders>
          </w:tcPr>
          <w:p>
            <w:pPr>
              <w:pStyle w:val="TableParagraph"/>
              <w:tabs>
                <w:tab w:pos="906" w:val="left" w:leader="none"/>
              </w:tabs>
              <w:spacing w:before="54"/>
              <w:ind w:left="107"/>
              <w:rPr>
                <w:b/>
                <w:sz w:val="20"/>
              </w:rPr>
            </w:pPr>
            <w:r>
              <w:rPr>
                <w:b/>
                <w:sz w:val="20"/>
              </w:rPr>
              <w:t>A.7.3</w:t>
              <w:tab/>
              <w:t>Beendigung und Änderung der</w:t>
            </w:r>
            <w:r>
              <w:rPr>
                <w:b/>
                <w:spacing w:val="2"/>
                <w:sz w:val="20"/>
              </w:rPr>
              <w:t> </w:t>
            </w:r>
            <w:r>
              <w:rPr>
                <w:b/>
                <w:sz w:val="20"/>
              </w:rPr>
              <w:t>Beschäftigung</w:t>
            </w:r>
          </w:p>
          <w:p>
            <w:pPr>
              <w:pStyle w:val="TableParagraph"/>
              <w:spacing w:before="63"/>
              <w:ind w:left="107"/>
              <w:rPr>
                <w:sz w:val="20"/>
              </w:rPr>
            </w:pPr>
            <w:r>
              <w:rPr>
                <w:sz w:val="20"/>
              </w:rPr>
              <w:t>Ziel: Der Schutz der Interessen der Organisation ist Teil des Prozesses der Änderung oder Beendigung einer Beschäftigung.</w:t>
            </w:r>
          </w:p>
        </w:tc>
      </w:tr>
      <w:tr>
        <w:trPr>
          <w:trHeight w:val="1561" w:hRule="atLeast"/>
        </w:trPr>
        <w:tc>
          <w:tcPr>
            <w:tcW w:w="962" w:type="dxa"/>
            <w:tcBorders>
              <w:top w:val="single" w:sz="6" w:space="0" w:color="000000"/>
              <w:bottom w:val="single" w:sz="6" w:space="0" w:color="000000"/>
              <w:right w:val="single" w:sz="6" w:space="0" w:color="000000"/>
            </w:tcBorders>
          </w:tcPr>
          <w:p>
            <w:pPr>
              <w:pStyle w:val="TableParagraph"/>
              <w:spacing w:before="59"/>
              <w:ind w:left="87" w:right="178"/>
              <w:jc w:val="center"/>
              <w:rPr>
                <w:sz w:val="20"/>
              </w:rPr>
            </w:pPr>
            <w:r>
              <w:rPr>
                <w:sz w:val="20"/>
              </w:rPr>
              <w:t>A.7.3.1</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spacing w:before="59"/>
              <w:ind w:right="198"/>
              <w:rPr>
                <w:sz w:val="20"/>
              </w:rPr>
            </w:pPr>
            <w:r>
              <w:rPr>
                <w:sz w:val="20"/>
              </w:rPr>
              <w:t>Verantwortlichkeiten bei Beendigung oder Änderung der Beschäftigung</w:t>
            </w:r>
          </w:p>
        </w:tc>
        <w:tc>
          <w:tcPr>
            <w:tcW w:w="5333" w:type="dxa"/>
            <w:tcBorders>
              <w:top w:val="single" w:sz="6" w:space="0" w:color="000000"/>
              <w:left w:val="single" w:sz="6" w:space="0" w:color="000000"/>
              <w:bottom w:val="single" w:sz="6" w:space="0" w:color="000000"/>
            </w:tcBorders>
          </w:tcPr>
          <w:p>
            <w:pPr>
              <w:pStyle w:val="TableParagraph"/>
              <w:rPr>
                <w:i/>
                <w:sz w:val="20"/>
              </w:rPr>
            </w:pPr>
            <w:r>
              <w:rPr>
                <w:i/>
                <w:sz w:val="20"/>
              </w:rPr>
              <w:t>Maßnahme</w:t>
            </w:r>
          </w:p>
          <w:p>
            <w:pPr>
              <w:pStyle w:val="TableParagraph"/>
              <w:spacing w:before="60"/>
              <w:ind w:right="75"/>
              <w:jc w:val="both"/>
              <w:rPr>
                <w:sz w:val="20"/>
              </w:rPr>
            </w:pPr>
            <w:r>
              <w:rPr>
                <w:sz w:val="20"/>
              </w:rPr>
              <w:t>Verantwortlichkeiten und Pflichten im Bereich der Informationssicherheit, die auch nach Beendigung oder Änderung der Beschäftigung bestehen bleiben, sind festgelegt, dem Beschäftigten oder Auftragnehmer mitgeteilt und durchgesetzt.</w:t>
            </w:r>
          </w:p>
        </w:tc>
      </w:tr>
      <w:tr>
        <w:trPr>
          <w:trHeight w:val="349" w:hRule="atLeast"/>
        </w:trPr>
        <w:tc>
          <w:tcPr>
            <w:tcW w:w="9890" w:type="dxa"/>
            <w:gridSpan w:val="3"/>
            <w:tcBorders>
              <w:top w:val="single" w:sz="6" w:space="0" w:color="000000"/>
              <w:bottom w:val="single" w:sz="6" w:space="0" w:color="000000"/>
            </w:tcBorders>
          </w:tcPr>
          <w:p>
            <w:pPr>
              <w:pStyle w:val="TableParagraph"/>
              <w:spacing w:before="54"/>
              <w:ind w:left="107"/>
              <w:rPr>
                <w:b/>
                <w:sz w:val="20"/>
              </w:rPr>
            </w:pPr>
            <w:r>
              <w:rPr>
                <w:b/>
                <w:sz w:val="20"/>
              </w:rPr>
              <w:t>A.8 Verwaltung der Werte</w:t>
            </w:r>
          </w:p>
        </w:tc>
      </w:tr>
      <w:tr>
        <w:trPr>
          <w:trHeight w:val="868" w:hRule="atLeast"/>
        </w:trPr>
        <w:tc>
          <w:tcPr>
            <w:tcW w:w="9890" w:type="dxa"/>
            <w:gridSpan w:val="3"/>
            <w:tcBorders>
              <w:top w:val="single" w:sz="6" w:space="0" w:color="000000"/>
              <w:bottom w:val="single" w:sz="6" w:space="0" w:color="000000"/>
            </w:tcBorders>
          </w:tcPr>
          <w:p>
            <w:pPr>
              <w:pStyle w:val="TableParagraph"/>
              <w:tabs>
                <w:tab w:pos="906" w:val="left" w:leader="none"/>
              </w:tabs>
              <w:spacing w:before="54"/>
              <w:ind w:left="107"/>
              <w:rPr>
                <w:b/>
                <w:sz w:val="20"/>
              </w:rPr>
            </w:pPr>
            <w:r>
              <w:rPr>
                <w:b/>
                <w:sz w:val="20"/>
              </w:rPr>
              <w:t>A.8.1</w:t>
              <w:tab/>
              <w:t>Verantwortlichkeit für</w:t>
            </w:r>
            <w:r>
              <w:rPr>
                <w:b/>
                <w:spacing w:val="-2"/>
                <w:sz w:val="20"/>
              </w:rPr>
              <w:t> </w:t>
            </w:r>
            <w:r>
              <w:rPr>
                <w:b/>
                <w:sz w:val="20"/>
              </w:rPr>
              <w:t>Werte</w:t>
            </w:r>
          </w:p>
          <w:p>
            <w:pPr>
              <w:pStyle w:val="TableParagraph"/>
              <w:spacing w:before="63"/>
              <w:ind w:left="107" w:right="74" w:hanging="1"/>
              <w:rPr>
                <w:sz w:val="20"/>
              </w:rPr>
            </w:pPr>
            <w:r>
              <w:rPr>
                <w:sz w:val="20"/>
              </w:rPr>
              <w:t>Ziel: Die Werte der Organisation sind identifiziert und angemessene Verantwortlichkeiten zu ihrem Schutz sind festgelegt.</w:t>
            </w:r>
          </w:p>
        </w:tc>
      </w:tr>
      <w:tr>
        <w:trPr>
          <w:trHeight w:val="1621" w:hRule="atLeast"/>
        </w:trPr>
        <w:tc>
          <w:tcPr>
            <w:tcW w:w="962" w:type="dxa"/>
            <w:tcBorders>
              <w:top w:val="single" w:sz="6" w:space="0" w:color="000000"/>
              <w:bottom w:val="single" w:sz="6" w:space="0" w:color="000000"/>
              <w:right w:val="single" w:sz="6" w:space="0" w:color="000000"/>
            </w:tcBorders>
          </w:tcPr>
          <w:p>
            <w:pPr>
              <w:pStyle w:val="TableParagraph"/>
              <w:spacing w:before="59"/>
              <w:ind w:left="87" w:right="178"/>
              <w:jc w:val="center"/>
              <w:rPr>
                <w:sz w:val="20"/>
              </w:rPr>
            </w:pPr>
            <w:r>
              <w:rPr>
                <w:sz w:val="20"/>
              </w:rPr>
              <w:t>A.8.1.1</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spacing w:before="59"/>
              <w:rPr>
                <w:sz w:val="20"/>
              </w:rPr>
            </w:pPr>
            <w:r>
              <w:rPr>
                <w:sz w:val="20"/>
              </w:rPr>
              <w:t>Inventarisierung der Werte</w:t>
            </w:r>
          </w:p>
        </w:tc>
        <w:tc>
          <w:tcPr>
            <w:tcW w:w="5333" w:type="dxa"/>
            <w:tcBorders>
              <w:top w:val="single" w:sz="6" w:space="0" w:color="000000"/>
              <w:left w:val="single" w:sz="6" w:space="0" w:color="000000"/>
              <w:bottom w:val="single" w:sz="6" w:space="0" w:color="000000"/>
            </w:tcBorders>
          </w:tcPr>
          <w:p>
            <w:pPr>
              <w:pStyle w:val="TableParagraph"/>
              <w:rPr>
                <w:i/>
                <w:sz w:val="20"/>
              </w:rPr>
            </w:pPr>
            <w:r>
              <w:rPr>
                <w:i/>
                <w:sz w:val="20"/>
              </w:rPr>
              <w:t>Maßnahme</w:t>
            </w:r>
          </w:p>
          <w:p>
            <w:pPr>
              <w:pStyle w:val="TableParagraph"/>
              <w:spacing w:before="62"/>
              <w:ind w:right="77"/>
              <w:jc w:val="both"/>
              <w:rPr>
                <w:sz w:val="20"/>
              </w:rPr>
            </w:pPr>
            <w:r>
              <w:rPr>
                <w:spacing w:val="-1"/>
                <w:w w:val="484"/>
                <w:sz w:val="20"/>
              </w:rPr>
              <w:t>˜</w:t>
            </w:r>
            <w:r>
              <w:rPr>
                <w:spacing w:val="-1"/>
                <w:w w:val="99"/>
                <w:sz w:val="20"/>
              </w:rPr>
              <w:t>In</w:t>
            </w:r>
            <w:r>
              <w:rPr>
                <w:spacing w:val="2"/>
                <w:w w:val="99"/>
                <w:sz w:val="20"/>
              </w:rPr>
              <w:t>f</w:t>
            </w:r>
            <w:r>
              <w:rPr>
                <w:spacing w:val="-1"/>
                <w:w w:val="99"/>
                <w:sz w:val="20"/>
              </w:rPr>
              <w:t>o</w:t>
            </w:r>
            <w:r>
              <w:rPr>
                <w:w w:val="99"/>
                <w:sz w:val="20"/>
              </w:rPr>
              <w:t>r</w:t>
            </w:r>
            <w:r>
              <w:rPr>
                <w:spacing w:val="4"/>
                <w:w w:val="99"/>
                <w:sz w:val="20"/>
              </w:rPr>
              <w:t>m</w:t>
            </w:r>
            <w:r>
              <w:rPr>
                <w:spacing w:val="-1"/>
                <w:w w:val="99"/>
                <w:sz w:val="20"/>
              </w:rPr>
              <w:t>at</w:t>
            </w:r>
            <w:r>
              <w:rPr>
                <w:spacing w:val="-2"/>
                <w:w w:val="99"/>
                <w:sz w:val="20"/>
              </w:rPr>
              <w:t>i</w:t>
            </w:r>
            <w:r>
              <w:rPr>
                <w:spacing w:val="-1"/>
                <w:w w:val="99"/>
                <w:sz w:val="20"/>
              </w:rPr>
              <w:t>o</w:t>
            </w:r>
            <w:r>
              <w:rPr>
                <w:w w:val="99"/>
                <w:sz w:val="20"/>
              </w:rPr>
              <w:t>n</w:t>
            </w:r>
            <w:r>
              <w:rPr>
                <w:spacing w:val="8"/>
                <w:sz w:val="20"/>
              </w:rPr>
              <w:t> </w:t>
            </w:r>
            <w:r>
              <w:rPr>
                <w:spacing w:val="-1"/>
                <w:w w:val="99"/>
                <w:sz w:val="20"/>
              </w:rPr>
              <w:t>u</w:t>
            </w:r>
            <w:r>
              <w:rPr>
                <w:spacing w:val="1"/>
                <w:w w:val="99"/>
                <w:sz w:val="20"/>
              </w:rPr>
              <w:t>n</w:t>
            </w:r>
            <w:r>
              <w:rPr>
                <w:w w:val="99"/>
                <w:sz w:val="20"/>
              </w:rPr>
              <w:t>d</w:t>
            </w:r>
            <w:r>
              <w:rPr>
                <w:spacing w:val="9"/>
                <w:sz w:val="20"/>
              </w:rPr>
              <w:t> </w:t>
            </w:r>
            <w:r>
              <w:rPr>
                <w:spacing w:val="-1"/>
                <w:w w:val="99"/>
                <w:sz w:val="20"/>
              </w:rPr>
              <w:t>a</w:t>
            </w:r>
            <w:r>
              <w:rPr>
                <w:spacing w:val="1"/>
                <w:w w:val="99"/>
                <w:sz w:val="20"/>
              </w:rPr>
              <w:t>n</w:t>
            </w:r>
            <w:r>
              <w:rPr>
                <w:spacing w:val="-1"/>
                <w:w w:val="99"/>
                <w:sz w:val="20"/>
              </w:rPr>
              <w:t>de</w:t>
            </w:r>
            <w:r>
              <w:rPr>
                <w:w w:val="99"/>
                <w:sz w:val="20"/>
              </w:rPr>
              <w:t>r</w:t>
            </w:r>
            <w:r>
              <w:rPr>
                <w:spacing w:val="2"/>
                <w:w w:val="99"/>
                <w:sz w:val="20"/>
              </w:rPr>
              <w:t>e</w:t>
            </w:r>
            <w:r>
              <w:rPr>
                <w:w w:val="162"/>
                <w:sz w:val="20"/>
              </w:rPr>
              <w:t>™</w:t>
            </w:r>
            <w:r>
              <w:rPr>
                <w:spacing w:val="5"/>
                <w:sz w:val="20"/>
              </w:rPr>
              <w:t> </w:t>
            </w:r>
            <w:r>
              <w:rPr>
                <w:spacing w:val="8"/>
                <w:w w:val="99"/>
                <w:sz w:val="20"/>
              </w:rPr>
              <w:t>W</w:t>
            </w:r>
            <w:r>
              <w:rPr>
                <w:spacing w:val="-1"/>
                <w:w w:val="99"/>
                <w:sz w:val="20"/>
              </w:rPr>
              <w:t>e</w:t>
            </w:r>
            <w:r>
              <w:rPr>
                <w:w w:val="99"/>
                <w:sz w:val="20"/>
              </w:rPr>
              <w:t>r</w:t>
            </w:r>
            <w:r>
              <w:rPr>
                <w:spacing w:val="-1"/>
                <w:w w:val="99"/>
                <w:sz w:val="20"/>
              </w:rPr>
              <w:t>te</w:t>
            </w:r>
            <w:r>
              <w:rPr>
                <w:w w:val="99"/>
                <w:sz w:val="20"/>
              </w:rPr>
              <w:t>,</w:t>
            </w:r>
            <w:r>
              <w:rPr>
                <w:spacing w:val="8"/>
                <w:sz w:val="20"/>
              </w:rPr>
              <w:t> </w:t>
            </w:r>
            <w:r>
              <w:rPr>
                <w:spacing w:val="-1"/>
                <w:w w:val="99"/>
                <w:sz w:val="20"/>
              </w:rPr>
              <w:t>d</w:t>
            </w:r>
            <w:r>
              <w:rPr>
                <w:spacing w:val="-2"/>
                <w:w w:val="99"/>
                <w:sz w:val="20"/>
              </w:rPr>
              <w:t>i</w:t>
            </w:r>
            <w:r>
              <w:rPr>
                <w:w w:val="99"/>
                <w:sz w:val="20"/>
              </w:rPr>
              <w:t>e</w:t>
            </w:r>
            <w:r>
              <w:rPr>
                <w:spacing w:val="8"/>
                <w:sz w:val="20"/>
              </w:rPr>
              <w:t> </w:t>
            </w:r>
            <w:r>
              <w:rPr>
                <w:spacing w:val="4"/>
                <w:w w:val="99"/>
                <w:sz w:val="20"/>
              </w:rPr>
              <w:t>m</w:t>
            </w:r>
            <w:r>
              <w:rPr>
                <w:spacing w:val="-2"/>
                <w:w w:val="99"/>
                <w:sz w:val="20"/>
              </w:rPr>
              <w:t>i</w:t>
            </w:r>
            <w:r>
              <w:rPr>
                <w:w w:val="99"/>
                <w:sz w:val="20"/>
              </w:rPr>
              <w:t>t</w:t>
            </w:r>
            <w:r>
              <w:rPr>
                <w:spacing w:val="9"/>
                <w:sz w:val="20"/>
              </w:rPr>
              <w:t> </w:t>
            </w:r>
            <w:r>
              <w:rPr>
                <w:spacing w:val="-1"/>
                <w:w w:val="99"/>
                <w:sz w:val="20"/>
              </w:rPr>
              <w:t>In</w:t>
            </w:r>
            <w:r>
              <w:rPr>
                <w:spacing w:val="2"/>
                <w:w w:val="99"/>
                <w:sz w:val="20"/>
              </w:rPr>
              <w:t>f</w:t>
            </w:r>
            <w:r>
              <w:rPr>
                <w:spacing w:val="-1"/>
                <w:w w:val="99"/>
                <w:sz w:val="20"/>
              </w:rPr>
              <w:t>o</w:t>
            </w:r>
            <w:r>
              <w:rPr>
                <w:spacing w:val="-2"/>
                <w:w w:val="99"/>
                <w:sz w:val="20"/>
              </w:rPr>
              <w:t>r</w:t>
            </w:r>
            <w:r>
              <w:rPr>
                <w:spacing w:val="4"/>
                <w:w w:val="99"/>
                <w:sz w:val="20"/>
              </w:rPr>
              <w:t>m</w:t>
            </w:r>
            <w:r>
              <w:rPr>
                <w:spacing w:val="-1"/>
                <w:w w:val="99"/>
                <w:sz w:val="20"/>
              </w:rPr>
              <w:t>a</w:t>
            </w:r>
            <w:r>
              <w:rPr>
                <w:spacing w:val="-3"/>
                <w:w w:val="99"/>
                <w:sz w:val="20"/>
              </w:rPr>
              <w:t>t</w:t>
            </w:r>
            <w:r>
              <w:rPr>
                <w:spacing w:val="-2"/>
                <w:w w:val="99"/>
                <w:sz w:val="20"/>
              </w:rPr>
              <w:t>i</w:t>
            </w:r>
            <w:r>
              <w:rPr>
                <w:spacing w:val="-1"/>
                <w:w w:val="99"/>
                <w:sz w:val="20"/>
              </w:rPr>
              <w:t>on </w:t>
            </w:r>
            <w:r>
              <w:rPr>
                <w:w w:val="110"/>
                <w:sz w:val="20"/>
              </w:rPr>
              <w:t>und informationsverarbeitenden Einrichtungen in Zusammenhang</w:t>
            </w:r>
            <w:r>
              <w:rPr>
                <w:spacing w:val="-15"/>
                <w:w w:val="110"/>
                <w:sz w:val="20"/>
              </w:rPr>
              <w:t> </w:t>
            </w:r>
            <w:r>
              <w:rPr>
                <w:w w:val="110"/>
                <w:sz w:val="20"/>
              </w:rPr>
              <w:t>stehen,</w:t>
            </w:r>
            <w:r>
              <w:rPr>
                <w:spacing w:val="-15"/>
                <w:w w:val="110"/>
                <w:sz w:val="20"/>
              </w:rPr>
              <w:t> </w:t>
            </w:r>
            <w:r>
              <w:rPr>
                <w:w w:val="110"/>
                <w:sz w:val="20"/>
              </w:rPr>
              <w:t>sind</w:t>
            </w:r>
            <w:r>
              <w:rPr>
                <w:spacing w:val="-15"/>
                <w:w w:val="110"/>
                <w:sz w:val="20"/>
              </w:rPr>
              <w:t> </w:t>
            </w:r>
            <w:r>
              <w:rPr>
                <w:w w:val="110"/>
                <w:sz w:val="20"/>
              </w:rPr>
              <w:t>erfasst</w:t>
            </w:r>
            <w:r>
              <w:rPr>
                <w:spacing w:val="-15"/>
                <w:w w:val="110"/>
                <w:sz w:val="20"/>
              </w:rPr>
              <w:t> </w:t>
            </w:r>
            <w:r>
              <w:rPr>
                <w:w w:val="110"/>
                <w:sz w:val="20"/>
              </w:rPr>
              <w:t>und</w:t>
            </w:r>
            <w:r>
              <w:rPr>
                <w:spacing w:val="-14"/>
                <w:w w:val="110"/>
                <w:sz w:val="20"/>
              </w:rPr>
              <w:t> </w:t>
            </w:r>
            <w:r>
              <w:rPr>
                <w:w w:val="110"/>
                <w:sz w:val="20"/>
              </w:rPr>
              <w:t>ein</w:t>
            </w:r>
            <w:r>
              <w:rPr>
                <w:spacing w:val="-16"/>
                <w:w w:val="110"/>
                <w:sz w:val="20"/>
              </w:rPr>
              <w:t> </w:t>
            </w:r>
            <w:r>
              <w:rPr>
                <w:w w:val="110"/>
                <w:sz w:val="20"/>
              </w:rPr>
              <w:t>Inventar dieser</w:t>
            </w:r>
            <w:r>
              <w:rPr>
                <w:spacing w:val="-19"/>
                <w:w w:val="110"/>
                <w:sz w:val="20"/>
              </w:rPr>
              <w:t> </w:t>
            </w:r>
            <w:r>
              <w:rPr>
                <w:w w:val="110"/>
                <w:sz w:val="20"/>
              </w:rPr>
              <w:t>Werte</w:t>
            </w:r>
            <w:r>
              <w:rPr>
                <w:spacing w:val="-17"/>
                <w:w w:val="110"/>
                <w:sz w:val="20"/>
              </w:rPr>
              <w:t> </w:t>
            </w:r>
            <w:r>
              <w:rPr>
                <w:w w:val="110"/>
                <w:sz w:val="20"/>
              </w:rPr>
              <w:t>ist</w:t>
            </w:r>
            <w:r>
              <w:rPr>
                <w:spacing w:val="-17"/>
                <w:w w:val="110"/>
                <w:sz w:val="20"/>
              </w:rPr>
              <w:t> </w:t>
            </w:r>
            <w:r>
              <w:rPr>
                <w:w w:val="110"/>
                <w:sz w:val="20"/>
              </w:rPr>
              <w:t>erstellt</w:t>
            </w:r>
            <w:r>
              <w:rPr>
                <w:spacing w:val="-17"/>
                <w:w w:val="110"/>
                <w:sz w:val="20"/>
              </w:rPr>
              <w:t> </w:t>
            </w:r>
            <w:r>
              <w:rPr>
                <w:w w:val="110"/>
                <w:sz w:val="20"/>
              </w:rPr>
              <w:t>und</w:t>
            </w:r>
            <w:r>
              <w:rPr>
                <w:spacing w:val="-16"/>
                <w:w w:val="110"/>
                <w:sz w:val="20"/>
              </w:rPr>
              <w:t> </w:t>
            </w:r>
            <w:r>
              <w:rPr>
                <w:w w:val="110"/>
                <w:sz w:val="20"/>
              </w:rPr>
              <w:t>wird</w:t>
            </w:r>
            <w:r>
              <w:rPr>
                <w:spacing w:val="-17"/>
                <w:w w:val="110"/>
                <w:sz w:val="20"/>
              </w:rPr>
              <w:t> </w:t>
            </w:r>
            <w:r>
              <w:rPr>
                <w:w w:val="110"/>
                <w:sz w:val="20"/>
              </w:rPr>
              <w:t>gepflegt.</w:t>
            </w:r>
          </w:p>
        </w:tc>
      </w:tr>
      <w:tr>
        <w:trPr>
          <w:trHeight w:val="868" w:hRule="atLeast"/>
        </w:trPr>
        <w:tc>
          <w:tcPr>
            <w:tcW w:w="962" w:type="dxa"/>
            <w:tcBorders>
              <w:top w:val="single" w:sz="6" w:space="0" w:color="000000"/>
              <w:bottom w:val="single" w:sz="6" w:space="0" w:color="000000"/>
              <w:right w:val="single" w:sz="6" w:space="0" w:color="000000"/>
            </w:tcBorders>
          </w:tcPr>
          <w:p>
            <w:pPr>
              <w:pStyle w:val="TableParagraph"/>
              <w:ind w:left="87" w:right="178"/>
              <w:jc w:val="center"/>
              <w:rPr>
                <w:sz w:val="20"/>
              </w:rPr>
            </w:pPr>
            <w:r>
              <w:rPr>
                <w:sz w:val="20"/>
              </w:rPr>
              <w:t>A.8.1.2</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rPr>
                <w:sz w:val="20"/>
              </w:rPr>
            </w:pPr>
            <w:r>
              <w:rPr>
                <w:sz w:val="20"/>
              </w:rPr>
              <w:t>Zuständigkeit für Werte</w:t>
            </w:r>
          </w:p>
        </w:tc>
        <w:tc>
          <w:tcPr>
            <w:tcW w:w="5333" w:type="dxa"/>
            <w:tcBorders>
              <w:top w:val="single" w:sz="6" w:space="0" w:color="000000"/>
              <w:left w:val="single" w:sz="6" w:space="0" w:color="000000"/>
              <w:bottom w:val="single" w:sz="6" w:space="0" w:color="000000"/>
            </w:tcBorders>
          </w:tcPr>
          <w:p>
            <w:pPr>
              <w:pStyle w:val="TableParagraph"/>
              <w:spacing w:before="54"/>
              <w:rPr>
                <w:i/>
                <w:sz w:val="20"/>
              </w:rPr>
            </w:pPr>
            <w:r>
              <w:rPr>
                <w:i/>
                <w:sz w:val="20"/>
              </w:rPr>
              <w:t>Maßnahme</w:t>
            </w:r>
          </w:p>
          <w:p>
            <w:pPr>
              <w:pStyle w:val="TableParagraph"/>
              <w:spacing w:before="63"/>
              <w:ind w:hanging="1"/>
              <w:rPr>
                <w:sz w:val="20"/>
              </w:rPr>
            </w:pPr>
            <w:r>
              <w:rPr>
                <w:sz w:val="20"/>
              </w:rPr>
              <w:t>Für alle Werte, die im Inventar geführt werden, gibt es Zuständige.</w:t>
            </w:r>
          </w:p>
        </w:tc>
      </w:tr>
      <w:tr>
        <w:trPr>
          <w:trHeight w:val="1561" w:hRule="atLeast"/>
        </w:trPr>
        <w:tc>
          <w:tcPr>
            <w:tcW w:w="962" w:type="dxa"/>
            <w:tcBorders>
              <w:top w:val="single" w:sz="6" w:space="0" w:color="000000"/>
              <w:bottom w:val="single" w:sz="6" w:space="0" w:color="000000"/>
              <w:right w:val="single" w:sz="6" w:space="0" w:color="000000"/>
            </w:tcBorders>
          </w:tcPr>
          <w:p>
            <w:pPr>
              <w:pStyle w:val="TableParagraph"/>
              <w:spacing w:before="59"/>
              <w:ind w:left="87" w:right="178"/>
              <w:jc w:val="center"/>
              <w:rPr>
                <w:sz w:val="20"/>
              </w:rPr>
            </w:pPr>
            <w:r>
              <w:rPr>
                <w:sz w:val="20"/>
              </w:rPr>
              <w:t>A.8.1.3</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spacing w:before="59"/>
              <w:rPr>
                <w:sz w:val="20"/>
              </w:rPr>
            </w:pPr>
            <w:r>
              <w:rPr>
                <w:sz w:val="20"/>
              </w:rPr>
              <w:t>Zulässiger Gebrauch von Werten</w:t>
            </w:r>
          </w:p>
        </w:tc>
        <w:tc>
          <w:tcPr>
            <w:tcW w:w="5333" w:type="dxa"/>
            <w:tcBorders>
              <w:top w:val="single" w:sz="6" w:space="0" w:color="000000"/>
              <w:left w:val="single" w:sz="6" w:space="0" w:color="000000"/>
              <w:bottom w:val="single" w:sz="6" w:space="0" w:color="000000"/>
            </w:tcBorders>
          </w:tcPr>
          <w:p>
            <w:pPr>
              <w:pStyle w:val="TableParagraph"/>
              <w:rPr>
                <w:i/>
                <w:sz w:val="20"/>
              </w:rPr>
            </w:pPr>
            <w:r>
              <w:rPr>
                <w:i/>
                <w:sz w:val="20"/>
              </w:rPr>
              <w:t>Maßnahme</w:t>
            </w:r>
          </w:p>
          <w:p>
            <w:pPr>
              <w:pStyle w:val="TableParagraph"/>
              <w:tabs>
                <w:tab w:pos="1453" w:val="left" w:leader="none"/>
                <w:tab w:pos="2356" w:val="left" w:leader="none"/>
                <w:tab w:pos="3195" w:val="left" w:leader="none"/>
                <w:tab w:pos="3261" w:val="left" w:leader="none"/>
                <w:tab w:pos="4897" w:val="left" w:leader="none"/>
                <w:tab w:pos="5078" w:val="left" w:leader="none"/>
              </w:tabs>
              <w:spacing w:before="62"/>
              <w:ind w:right="76"/>
              <w:jc w:val="both"/>
              <w:rPr>
                <w:sz w:val="20"/>
              </w:rPr>
            </w:pPr>
            <w:r>
              <w:rPr>
                <w:sz w:val="20"/>
              </w:rPr>
              <w:t>Regeln für den zulässigen Gebrauch von Information und Werten,</w:t>
              <w:tab/>
              <w:t>die</w:t>
              <w:tab/>
              <w:t>mit</w:t>
              <w:tab/>
              <w:tab/>
              <w:t>Information</w:t>
              <w:tab/>
            </w:r>
            <w:r>
              <w:rPr>
                <w:spacing w:val="-6"/>
                <w:sz w:val="20"/>
              </w:rPr>
              <w:t>und </w:t>
            </w:r>
            <w:r>
              <w:rPr>
                <w:sz w:val="20"/>
              </w:rPr>
              <w:t>informationsverarbeitenden</w:t>
              <w:tab/>
              <w:t>Einrichtungen</w:t>
              <w:tab/>
              <w:tab/>
            </w:r>
            <w:r>
              <w:rPr>
                <w:spacing w:val="-10"/>
                <w:sz w:val="20"/>
              </w:rPr>
              <w:t>in </w:t>
            </w:r>
            <w:r>
              <w:rPr>
                <w:sz w:val="20"/>
              </w:rPr>
              <w:t>Zusammenhang stehen, sind aufgestellt, dokumentiert und werden</w:t>
            </w:r>
            <w:r>
              <w:rPr>
                <w:spacing w:val="-1"/>
                <w:sz w:val="20"/>
              </w:rPr>
              <w:t> </w:t>
            </w:r>
            <w:r>
              <w:rPr>
                <w:sz w:val="20"/>
              </w:rPr>
              <w:t>angewendet.</w:t>
            </w:r>
          </w:p>
        </w:tc>
      </w:tr>
      <w:tr>
        <w:trPr>
          <w:trHeight w:val="1269" w:hRule="atLeast"/>
        </w:trPr>
        <w:tc>
          <w:tcPr>
            <w:tcW w:w="962" w:type="dxa"/>
            <w:tcBorders>
              <w:top w:val="single" w:sz="6" w:space="0" w:color="000000"/>
              <w:bottom w:val="single" w:sz="4" w:space="0" w:color="000000"/>
              <w:right w:val="single" w:sz="6" w:space="0" w:color="000000"/>
            </w:tcBorders>
          </w:tcPr>
          <w:p>
            <w:pPr>
              <w:pStyle w:val="TableParagraph"/>
              <w:ind w:left="87" w:right="178"/>
              <w:jc w:val="center"/>
              <w:rPr>
                <w:sz w:val="20"/>
              </w:rPr>
            </w:pPr>
            <w:r>
              <w:rPr>
                <w:sz w:val="20"/>
              </w:rPr>
              <w:t>A.8.1.4</w:t>
            </w:r>
          </w:p>
        </w:tc>
        <w:tc>
          <w:tcPr>
            <w:tcW w:w="3595" w:type="dxa"/>
            <w:tcBorders>
              <w:top w:val="single" w:sz="6" w:space="0" w:color="000000"/>
              <w:left w:val="single" w:sz="6" w:space="0" w:color="000000"/>
              <w:bottom w:val="single" w:sz="4" w:space="0" w:color="000000"/>
              <w:right w:val="single" w:sz="6" w:space="0" w:color="000000"/>
            </w:tcBorders>
          </w:tcPr>
          <w:p>
            <w:pPr>
              <w:pStyle w:val="TableParagraph"/>
              <w:rPr>
                <w:sz w:val="20"/>
              </w:rPr>
            </w:pPr>
            <w:r>
              <w:rPr>
                <w:sz w:val="20"/>
              </w:rPr>
              <w:t>Rückgabe von Werten</w:t>
            </w:r>
          </w:p>
        </w:tc>
        <w:tc>
          <w:tcPr>
            <w:tcW w:w="5333" w:type="dxa"/>
            <w:tcBorders>
              <w:top w:val="single" w:sz="6" w:space="0" w:color="000000"/>
              <w:left w:val="single" w:sz="6" w:space="0" w:color="000000"/>
              <w:bottom w:val="single" w:sz="4" w:space="0" w:color="000000"/>
            </w:tcBorders>
          </w:tcPr>
          <w:p>
            <w:pPr>
              <w:pStyle w:val="TableParagraph"/>
              <w:ind w:right="76"/>
              <w:jc w:val="both"/>
              <w:rPr>
                <w:sz w:val="20"/>
              </w:rPr>
            </w:pPr>
            <w:r>
              <w:rPr>
                <w:sz w:val="20"/>
              </w:rPr>
              <w:t>Alle Beschäftigten und sonstige Benutzer, die zu externen Parteien gehören, geben bei Beendigung des Beschäftigungsverhältnisses, des Vertrages oder der Vereinbarung sämtliche in ihrem Besitz befindlichen Werte, die der Organisation gehören,</w:t>
            </w:r>
            <w:r>
              <w:rPr>
                <w:spacing w:val="-4"/>
                <w:sz w:val="20"/>
              </w:rPr>
              <w:t> </w:t>
            </w:r>
            <w:r>
              <w:rPr>
                <w:sz w:val="20"/>
              </w:rPr>
              <w:t>zurück.</w:t>
            </w:r>
          </w:p>
        </w:tc>
      </w:tr>
      <w:tr>
        <w:trPr>
          <w:trHeight w:val="870" w:hRule="atLeast"/>
        </w:trPr>
        <w:tc>
          <w:tcPr>
            <w:tcW w:w="9890" w:type="dxa"/>
            <w:gridSpan w:val="3"/>
            <w:tcBorders>
              <w:top w:val="single" w:sz="4" w:space="0" w:color="000000"/>
              <w:bottom w:val="single" w:sz="4" w:space="0" w:color="000000"/>
            </w:tcBorders>
          </w:tcPr>
          <w:p>
            <w:pPr>
              <w:pStyle w:val="TableParagraph"/>
              <w:tabs>
                <w:tab w:pos="906" w:val="left" w:leader="none"/>
              </w:tabs>
              <w:spacing w:before="54"/>
              <w:ind w:left="107"/>
              <w:rPr>
                <w:b/>
                <w:sz w:val="20"/>
              </w:rPr>
            </w:pPr>
            <w:r>
              <w:rPr>
                <w:b/>
                <w:sz w:val="20"/>
              </w:rPr>
              <w:t>A.8.2</w:t>
              <w:tab/>
              <w:t>Informationsklassifizierung</w:t>
            </w:r>
          </w:p>
          <w:p>
            <w:pPr>
              <w:pStyle w:val="TableParagraph"/>
              <w:spacing w:before="63"/>
              <w:ind w:left="107" w:right="74"/>
              <w:rPr>
                <w:sz w:val="20"/>
              </w:rPr>
            </w:pPr>
            <w:r>
              <w:rPr>
                <w:sz w:val="20"/>
              </w:rPr>
              <w:t>Ziel: Es ist sichergestellt, dass Information ein angemessenes Schutzniveau entsprechend ihrer Bedeutung für die Organisation erhält.</w:t>
            </w:r>
          </w:p>
        </w:tc>
      </w:tr>
      <w:tr>
        <w:trPr>
          <w:trHeight w:val="1329" w:hRule="atLeast"/>
        </w:trPr>
        <w:tc>
          <w:tcPr>
            <w:tcW w:w="962" w:type="dxa"/>
            <w:tcBorders>
              <w:top w:val="single" w:sz="4" w:space="0" w:color="000000"/>
              <w:bottom w:val="single" w:sz="6" w:space="0" w:color="000000"/>
              <w:right w:val="single" w:sz="6" w:space="0" w:color="000000"/>
            </w:tcBorders>
          </w:tcPr>
          <w:p>
            <w:pPr>
              <w:pStyle w:val="TableParagraph"/>
              <w:ind w:left="87" w:right="178"/>
              <w:jc w:val="center"/>
              <w:rPr>
                <w:sz w:val="20"/>
              </w:rPr>
            </w:pPr>
            <w:r>
              <w:rPr>
                <w:sz w:val="20"/>
              </w:rPr>
              <w:t>A.8.2.1</w:t>
            </w:r>
          </w:p>
        </w:tc>
        <w:tc>
          <w:tcPr>
            <w:tcW w:w="3595" w:type="dxa"/>
            <w:tcBorders>
              <w:top w:val="single" w:sz="4" w:space="0" w:color="000000"/>
              <w:left w:val="single" w:sz="6" w:space="0" w:color="000000"/>
              <w:bottom w:val="single" w:sz="6" w:space="0" w:color="000000"/>
              <w:right w:val="single" w:sz="6" w:space="0" w:color="000000"/>
            </w:tcBorders>
          </w:tcPr>
          <w:p>
            <w:pPr>
              <w:pStyle w:val="TableParagraph"/>
              <w:rPr>
                <w:sz w:val="20"/>
              </w:rPr>
            </w:pPr>
            <w:r>
              <w:rPr>
                <w:sz w:val="20"/>
              </w:rPr>
              <w:t>Klassifizierung von Information</w:t>
            </w:r>
          </w:p>
        </w:tc>
        <w:tc>
          <w:tcPr>
            <w:tcW w:w="5333" w:type="dxa"/>
            <w:tcBorders>
              <w:top w:val="single" w:sz="4" w:space="0" w:color="000000"/>
              <w:left w:val="single" w:sz="6" w:space="0" w:color="000000"/>
              <w:bottom w:val="single" w:sz="6" w:space="0" w:color="000000"/>
            </w:tcBorders>
          </w:tcPr>
          <w:p>
            <w:pPr>
              <w:pStyle w:val="TableParagraph"/>
              <w:spacing w:before="54"/>
              <w:rPr>
                <w:i/>
                <w:sz w:val="20"/>
              </w:rPr>
            </w:pPr>
            <w:r>
              <w:rPr>
                <w:i/>
                <w:sz w:val="20"/>
              </w:rPr>
              <w:t>Maßnahme</w:t>
            </w:r>
          </w:p>
          <w:p>
            <w:pPr>
              <w:pStyle w:val="TableParagraph"/>
              <w:spacing w:before="63"/>
              <w:ind w:right="74"/>
              <w:jc w:val="both"/>
              <w:rPr>
                <w:sz w:val="20"/>
              </w:rPr>
            </w:pPr>
            <w:r>
              <w:rPr>
                <w:sz w:val="20"/>
              </w:rPr>
              <w:t>Information ist anhand der gesetzlichen Anforderungen, ihres Wertes, ihrer Kritikalität und ihrer Empfindlichkeit gegenüber unbefugter Offenlegung oder Veränderung klassifiziert.</w:t>
            </w:r>
          </w:p>
        </w:tc>
      </w:tr>
    </w:tbl>
    <w:p>
      <w:pPr>
        <w:spacing w:after="0"/>
        <w:jc w:val="both"/>
        <w:rPr>
          <w:sz w:val="20"/>
        </w:rPr>
        <w:sectPr>
          <w:headerReference w:type="even" r:id="rId45"/>
          <w:headerReference w:type="default" r:id="rId46"/>
          <w:footerReference w:type="even" r:id="rId47"/>
          <w:footerReference w:type="default" r:id="rId48"/>
          <w:pgSz w:w="11910" w:h="16840"/>
          <w:pgMar w:header="710" w:footer="120" w:top="1540" w:bottom="320" w:left="260" w:right="540"/>
          <w:pgNumType w:start="18"/>
        </w:sectPr>
      </w:pPr>
    </w:p>
    <w:p>
      <w:pPr>
        <w:pStyle w:val="BodyText"/>
        <w:spacing w:before="8"/>
        <w:rPr>
          <w:b/>
          <w:sz w:val="8"/>
        </w:rPr>
      </w:pPr>
    </w:p>
    <w:tbl>
      <w:tblPr>
        <w:tblW w:w="0" w:type="auto"/>
        <w:jc w:val="left"/>
        <w:tblInd w:w="1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
        <w:gridCol w:w="3595"/>
        <w:gridCol w:w="5333"/>
      </w:tblGrid>
      <w:tr>
        <w:trPr>
          <w:trHeight w:val="1559" w:hRule="atLeast"/>
        </w:trPr>
        <w:tc>
          <w:tcPr>
            <w:tcW w:w="962" w:type="dxa"/>
            <w:tcBorders>
              <w:left w:val="single" w:sz="12" w:space="0" w:color="000000"/>
            </w:tcBorders>
          </w:tcPr>
          <w:p>
            <w:pPr>
              <w:pStyle w:val="TableParagraph"/>
              <w:ind w:left="109"/>
              <w:rPr>
                <w:sz w:val="20"/>
              </w:rPr>
            </w:pPr>
            <w:r>
              <w:rPr>
                <w:sz w:val="20"/>
              </w:rPr>
              <w:t>A.8.2.2</w:t>
            </w:r>
          </w:p>
        </w:tc>
        <w:tc>
          <w:tcPr>
            <w:tcW w:w="3595" w:type="dxa"/>
          </w:tcPr>
          <w:p>
            <w:pPr>
              <w:pStyle w:val="TableParagraph"/>
              <w:ind w:left="117"/>
              <w:rPr>
                <w:sz w:val="20"/>
              </w:rPr>
            </w:pPr>
            <w:r>
              <w:rPr>
                <w:sz w:val="20"/>
              </w:rPr>
              <w:t>Kennzeichnung von Information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tabs>
                <w:tab w:pos="1180" w:val="left" w:leader="none"/>
                <w:tab w:pos="2217" w:val="left" w:leader="none"/>
                <w:tab w:pos="4096" w:val="left" w:leader="none"/>
              </w:tabs>
              <w:spacing w:before="63"/>
              <w:ind w:right="78"/>
              <w:jc w:val="both"/>
              <w:rPr>
                <w:sz w:val="20"/>
              </w:rPr>
            </w:pPr>
            <w:r>
              <w:rPr>
                <w:sz w:val="20"/>
              </w:rPr>
              <w:t>Ein angemessener Satz von Verfahren zur Kennzeichnung von Information ist entsprechend dem von</w:t>
              <w:tab/>
              <w:t>der</w:t>
              <w:tab/>
              <w:t>Organisation</w:t>
              <w:tab/>
            </w:r>
            <w:r>
              <w:rPr>
                <w:w w:val="95"/>
                <w:sz w:val="20"/>
              </w:rPr>
              <w:t>eingesetzten </w:t>
            </w:r>
            <w:r>
              <w:rPr>
                <w:sz w:val="20"/>
              </w:rPr>
              <w:t>Informationsklassifizierungsschema entwickelt und umgesetzt.</w:t>
            </w:r>
          </w:p>
        </w:tc>
      </w:tr>
      <w:tr>
        <w:trPr>
          <w:trHeight w:val="1331" w:hRule="atLeast"/>
        </w:trPr>
        <w:tc>
          <w:tcPr>
            <w:tcW w:w="962" w:type="dxa"/>
            <w:tcBorders>
              <w:left w:val="single" w:sz="12" w:space="0" w:color="000000"/>
            </w:tcBorders>
          </w:tcPr>
          <w:p>
            <w:pPr>
              <w:pStyle w:val="TableParagraph"/>
              <w:ind w:left="109"/>
              <w:rPr>
                <w:sz w:val="20"/>
              </w:rPr>
            </w:pPr>
            <w:r>
              <w:rPr>
                <w:sz w:val="20"/>
              </w:rPr>
              <w:t>A.8.2.3</w:t>
            </w:r>
          </w:p>
        </w:tc>
        <w:tc>
          <w:tcPr>
            <w:tcW w:w="3595" w:type="dxa"/>
          </w:tcPr>
          <w:p>
            <w:pPr>
              <w:pStyle w:val="TableParagraph"/>
              <w:ind w:left="117"/>
              <w:rPr>
                <w:sz w:val="20"/>
              </w:rPr>
            </w:pPr>
            <w:r>
              <w:rPr>
                <w:sz w:val="20"/>
              </w:rPr>
              <w:t>Handhabung von Werten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6"/>
              <w:jc w:val="both"/>
              <w:rPr>
                <w:sz w:val="20"/>
              </w:rPr>
            </w:pPr>
            <w:r>
              <w:rPr>
                <w:sz w:val="20"/>
              </w:rPr>
              <w:t>Verfahren für die Handhabung von Werten sind entsprechend dem von der Organisation eingesetzten Informationsklassifizierungsschema entwickelt und umgesetzt.</w:t>
            </w:r>
          </w:p>
        </w:tc>
      </w:tr>
      <w:tr>
        <w:trPr>
          <w:trHeight w:val="868" w:hRule="atLeast"/>
        </w:trPr>
        <w:tc>
          <w:tcPr>
            <w:tcW w:w="9890" w:type="dxa"/>
            <w:gridSpan w:val="3"/>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A.8.3</w:t>
              <w:tab/>
              <w:t>Handhabung von</w:t>
            </w:r>
            <w:r>
              <w:rPr>
                <w:b/>
                <w:spacing w:val="-1"/>
                <w:sz w:val="20"/>
              </w:rPr>
              <w:t> </w:t>
            </w:r>
            <w:r>
              <w:rPr>
                <w:b/>
                <w:sz w:val="20"/>
              </w:rPr>
              <w:t>Datenträgern</w:t>
            </w:r>
          </w:p>
          <w:p>
            <w:pPr>
              <w:pStyle w:val="TableParagraph"/>
              <w:spacing w:before="63"/>
              <w:ind w:left="109"/>
              <w:rPr>
                <w:sz w:val="20"/>
              </w:rPr>
            </w:pPr>
            <w:r>
              <w:rPr>
                <w:sz w:val="20"/>
              </w:rPr>
              <w:t>Ziel: Die unerlaubte Offenlegung, Veränderung, Entfernung oder Zerstörung von Information, die auf Datenträgern gespeichert ist, wird unterbunden.</w:t>
            </w:r>
          </w:p>
        </w:tc>
      </w:tr>
      <w:tr>
        <w:trPr>
          <w:trHeight w:val="1331" w:hRule="atLeast"/>
        </w:trPr>
        <w:tc>
          <w:tcPr>
            <w:tcW w:w="962" w:type="dxa"/>
            <w:tcBorders>
              <w:left w:val="single" w:sz="12" w:space="0" w:color="000000"/>
            </w:tcBorders>
          </w:tcPr>
          <w:p>
            <w:pPr>
              <w:pStyle w:val="TableParagraph"/>
              <w:spacing w:before="59"/>
              <w:ind w:left="109"/>
              <w:rPr>
                <w:sz w:val="20"/>
              </w:rPr>
            </w:pPr>
            <w:r>
              <w:rPr>
                <w:sz w:val="20"/>
              </w:rPr>
              <w:t>A.8.3.1</w:t>
            </w:r>
          </w:p>
        </w:tc>
        <w:tc>
          <w:tcPr>
            <w:tcW w:w="3595" w:type="dxa"/>
          </w:tcPr>
          <w:p>
            <w:pPr>
              <w:pStyle w:val="TableParagraph"/>
              <w:spacing w:before="59"/>
              <w:ind w:left="117" w:right="765"/>
              <w:rPr>
                <w:sz w:val="20"/>
              </w:rPr>
            </w:pPr>
            <w:r>
              <w:rPr>
                <w:sz w:val="20"/>
              </w:rPr>
              <w:t>Handhabung von </w:t>
            </w:r>
            <w:r>
              <w:rPr>
                <w:w w:val="95"/>
                <w:sz w:val="20"/>
              </w:rPr>
              <w:t>Wechseldatenträgern</w:t>
            </w:r>
          </w:p>
        </w:tc>
        <w:tc>
          <w:tcPr>
            <w:tcW w:w="5333" w:type="dxa"/>
            <w:tcBorders>
              <w:right w:val="single" w:sz="12" w:space="0" w:color="000000"/>
            </w:tcBorders>
          </w:tcPr>
          <w:p>
            <w:pPr>
              <w:pStyle w:val="TableParagraph"/>
              <w:rPr>
                <w:i/>
                <w:sz w:val="20"/>
              </w:rPr>
            </w:pPr>
            <w:r>
              <w:rPr>
                <w:i/>
                <w:sz w:val="20"/>
              </w:rPr>
              <w:t>Maßnahme</w:t>
            </w:r>
          </w:p>
          <w:p>
            <w:pPr>
              <w:pStyle w:val="TableParagraph"/>
              <w:tabs>
                <w:tab w:pos="2073" w:val="left" w:leader="none"/>
              </w:tabs>
              <w:spacing w:before="60"/>
              <w:ind w:right="74"/>
              <w:jc w:val="both"/>
              <w:rPr>
                <w:sz w:val="20"/>
              </w:rPr>
            </w:pPr>
            <w:r>
              <w:rPr>
                <w:sz w:val="20"/>
              </w:rPr>
              <w:t>Verfahren für die Handhabung von Wechseldatenträgern sind entsprechend dem von der Organisation eingesetzten</w:t>
              <w:tab/>
            </w:r>
            <w:r>
              <w:rPr>
                <w:w w:val="95"/>
                <w:sz w:val="20"/>
              </w:rPr>
              <w:t>Informationsklassifizierungsschema </w:t>
            </w:r>
            <w:r>
              <w:rPr>
                <w:sz w:val="20"/>
              </w:rPr>
              <w:t>umgesetzt.</w:t>
            </w:r>
          </w:p>
        </w:tc>
      </w:tr>
      <w:tr>
        <w:trPr>
          <w:trHeight w:val="870" w:hRule="atLeast"/>
        </w:trPr>
        <w:tc>
          <w:tcPr>
            <w:tcW w:w="962" w:type="dxa"/>
            <w:tcBorders>
              <w:left w:val="single" w:sz="12" w:space="0" w:color="000000"/>
            </w:tcBorders>
          </w:tcPr>
          <w:p>
            <w:pPr>
              <w:pStyle w:val="TableParagraph"/>
              <w:ind w:left="109"/>
              <w:rPr>
                <w:sz w:val="20"/>
              </w:rPr>
            </w:pPr>
            <w:r>
              <w:rPr>
                <w:sz w:val="20"/>
              </w:rPr>
              <w:t>A.8.3.2</w:t>
            </w:r>
          </w:p>
        </w:tc>
        <w:tc>
          <w:tcPr>
            <w:tcW w:w="3595" w:type="dxa"/>
          </w:tcPr>
          <w:p>
            <w:pPr>
              <w:pStyle w:val="TableParagraph"/>
              <w:ind w:left="117"/>
              <w:rPr>
                <w:sz w:val="20"/>
              </w:rPr>
            </w:pPr>
            <w:r>
              <w:rPr>
                <w:sz w:val="20"/>
              </w:rPr>
              <w:t>Entsorgung von Datenträgern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125"/>
              <w:rPr>
                <w:sz w:val="20"/>
              </w:rPr>
            </w:pPr>
            <w:r>
              <w:rPr>
                <w:sz w:val="20"/>
              </w:rPr>
              <w:t>Nicht mehr benötigte Datenträger werden sicher und unter Anwendung formaler Verfahren</w:t>
            </w:r>
            <w:r>
              <w:rPr>
                <w:spacing w:val="-4"/>
                <w:sz w:val="20"/>
              </w:rPr>
              <w:t> </w:t>
            </w:r>
            <w:r>
              <w:rPr>
                <w:sz w:val="20"/>
              </w:rPr>
              <w:t>entsorgt.</w:t>
            </w:r>
          </w:p>
        </w:tc>
      </w:tr>
      <w:tr>
        <w:trPr>
          <w:trHeight w:val="1098" w:hRule="atLeast"/>
        </w:trPr>
        <w:tc>
          <w:tcPr>
            <w:tcW w:w="962" w:type="dxa"/>
            <w:tcBorders>
              <w:left w:val="single" w:sz="12" w:space="0" w:color="000000"/>
            </w:tcBorders>
          </w:tcPr>
          <w:p>
            <w:pPr>
              <w:pStyle w:val="TableParagraph"/>
              <w:ind w:left="109"/>
              <w:rPr>
                <w:sz w:val="20"/>
              </w:rPr>
            </w:pPr>
            <w:r>
              <w:rPr>
                <w:sz w:val="20"/>
              </w:rPr>
              <w:t>A.8.3.3</w:t>
            </w:r>
          </w:p>
        </w:tc>
        <w:tc>
          <w:tcPr>
            <w:tcW w:w="3595" w:type="dxa"/>
          </w:tcPr>
          <w:p>
            <w:pPr>
              <w:pStyle w:val="TableParagraph"/>
              <w:ind w:left="117"/>
              <w:rPr>
                <w:sz w:val="20"/>
              </w:rPr>
            </w:pPr>
            <w:r>
              <w:rPr>
                <w:sz w:val="20"/>
              </w:rPr>
              <w:t>Transport von Datenträgern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7"/>
              <w:jc w:val="both"/>
              <w:rPr>
                <w:sz w:val="20"/>
              </w:rPr>
            </w:pPr>
            <w:r>
              <w:rPr>
                <w:sz w:val="20"/>
              </w:rPr>
              <w:t>Datenträger, die Information enthalten, sind während des Transports vor unbefugtem Zugriff, Missbrauch oder Verfälschung geschützt.</w:t>
            </w:r>
          </w:p>
        </w:tc>
      </w:tr>
      <w:tr>
        <w:trPr>
          <w:trHeight w:val="373" w:hRule="atLeast"/>
        </w:trPr>
        <w:tc>
          <w:tcPr>
            <w:tcW w:w="9890" w:type="dxa"/>
            <w:gridSpan w:val="3"/>
            <w:tcBorders>
              <w:left w:val="single" w:sz="12" w:space="0" w:color="000000"/>
              <w:right w:val="single" w:sz="12" w:space="0" w:color="000000"/>
            </w:tcBorders>
          </w:tcPr>
          <w:p>
            <w:pPr>
              <w:pStyle w:val="TableParagraph"/>
              <w:spacing w:before="56"/>
              <w:ind w:left="109"/>
              <w:rPr>
                <w:b/>
                <w:sz w:val="16"/>
              </w:rPr>
            </w:pPr>
            <w:r>
              <w:rPr>
                <w:b/>
                <w:sz w:val="20"/>
              </w:rPr>
              <w:t>A.9 Zugangssteuerung</w:t>
            </w:r>
            <w:hyperlink w:history="true" w:anchor="_bookmark39">
              <w:r>
                <w:rPr>
                  <w:b/>
                  <w:position w:val="6"/>
                  <w:sz w:val="16"/>
                </w:rPr>
                <w:t>N2)</w:t>
              </w:r>
            </w:hyperlink>
          </w:p>
        </w:tc>
      </w:tr>
      <w:tr>
        <w:trPr>
          <w:trHeight w:val="640" w:hRule="atLeast"/>
        </w:trPr>
        <w:tc>
          <w:tcPr>
            <w:tcW w:w="9890" w:type="dxa"/>
            <w:gridSpan w:val="3"/>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A.9.1</w:t>
              <w:tab/>
              <w:t>Geschäftsanforderungen an die Zugangssteuerung</w:t>
            </w:r>
          </w:p>
          <w:p>
            <w:pPr>
              <w:pStyle w:val="TableParagraph"/>
              <w:spacing w:before="63"/>
              <w:ind w:left="109"/>
              <w:rPr>
                <w:sz w:val="20"/>
              </w:rPr>
            </w:pPr>
            <w:r>
              <w:rPr>
                <w:sz w:val="20"/>
              </w:rPr>
              <w:t>Ziel: Der Zugang zu Information und informationsverarbeitenden Einrichtungen ist eingeschränkt.</w:t>
            </w:r>
          </w:p>
        </w:tc>
      </w:tr>
      <w:tr>
        <w:trPr>
          <w:trHeight w:val="1098" w:hRule="atLeast"/>
        </w:trPr>
        <w:tc>
          <w:tcPr>
            <w:tcW w:w="962" w:type="dxa"/>
            <w:tcBorders>
              <w:left w:val="single" w:sz="12" w:space="0" w:color="000000"/>
              <w:bottom w:val="single" w:sz="4" w:space="0" w:color="000000"/>
            </w:tcBorders>
          </w:tcPr>
          <w:p>
            <w:pPr>
              <w:pStyle w:val="TableParagraph"/>
              <w:ind w:left="109"/>
              <w:rPr>
                <w:sz w:val="20"/>
              </w:rPr>
            </w:pPr>
            <w:r>
              <w:rPr>
                <w:sz w:val="20"/>
              </w:rPr>
              <w:t>A.9.1.1</w:t>
            </w:r>
          </w:p>
        </w:tc>
        <w:tc>
          <w:tcPr>
            <w:tcW w:w="3595" w:type="dxa"/>
            <w:tcBorders>
              <w:bottom w:val="single" w:sz="4" w:space="0" w:color="000000"/>
            </w:tcBorders>
          </w:tcPr>
          <w:p>
            <w:pPr>
              <w:pStyle w:val="TableParagraph"/>
              <w:ind w:left="117"/>
              <w:rPr>
                <w:sz w:val="20"/>
              </w:rPr>
            </w:pPr>
            <w:r>
              <w:rPr>
                <w:sz w:val="20"/>
              </w:rPr>
              <w:t>Zugangssteuerungsrichtlinie</w:t>
            </w:r>
          </w:p>
        </w:tc>
        <w:tc>
          <w:tcPr>
            <w:tcW w:w="5333" w:type="dxa"/>
            <w:tcBorders>
              <w:bottom w:val="single" w:sz="4" w:space="0" w:color="000000"/>
              <w:right w:val="single" w:sz="12" w:space="0" w:color="000000"/>
            </w:tcBorders>
          </w:tcPr>
          <w:p>
            <w:pPr>
              <w:pStyle w:val="TableParagraph"/>
              <w:spacing w:before="54"/>
              <w:rPr>
                <w:i/>
                <w:sz w:val="20"/>
              </w:rPr>
            </w:pPr>
            <w:r>
              <w:rPr>
                <w:i/>
                <w:sz w:val="20"/>
              </w:rPr>
              <w:t>Maßnahme</w:t>
            </w:r>
          </w:p>
          <w:p>
            <w:pPr>
              <w:pStyle w:val="TableParagraph"/>
              <w:spacing w:before="63"/>
              <w:ind w:right="78" w:hanging="1"/>
              <w:jc w:val="both"/>
              <w:rPr>
                <w:sz w:val="20"/>
              </w:rPr>
            </w:pPr>
            <w:r>
              <w:rPr>
                <w:sz w:val="20"/>
              </w:rPr>
              <w:t>Eine Zugangssteuerungsrichtlinie ist auf Grundlage der geschäftlichen und sicherheitsrelevanten Anforderungen erstellt, dokumentiert und überprüft.</w:t>
            </w:r>
          </w:p>
        </w:tc>
      </w:tr>
      <w:tr>
        <w:trPr>
          <w:trHeight w:val="1101" w:hRule="atLeast"/>
        </w:trPr>
        <w:tc>
          <w:tcPr>
            <w:tcW w:w="962" w:type="dxa"/>
            <w:tcBorders>
              <w:top w:val="single" w:sz="4" w:space="0" w:color="000000"/>
              <w:left w:val="single" w:sz="12" w:space="0" w:color="000000"/>
            </w:tcBorders>
          </w:tcPr>
          <w:p>
            <w:pPr>
              <w:pStyle w:val="TableParagraph"/>
              <w:ind w:left="109"/>
              <w:rPr>
                <w:sz w:val="20"/>
              </w:rPr>
            </w:pPr>
            <w:r>
              <w:rPr>
                <w:sz w:val="20"/>
              </w:rPr>
              <w:t>A.9.1.2</w:t>
            </w:r>
          </w:p>
        </w:tc>
        <w:tc>
          <w:tcPr>
            <w:tcW w:w="3595" w:type="dxa"/>
            <w:tcBorders>
              <w:top w:val="single" w:sz="4" w:space="0" w:color="000000"/>
            </w:tcBorders>
          </w:tcPr>
          <w:p>
            <w:pPr>
              <w:pStyle w:val="TableParagraph"/>
              <w:ind w:left="117" w:right="997"/>
              <w:rPr>
                <w:sz w:val="20"/>
              </w:rPr>
            </w:pPr>
            <w:r>
              <w:rPr>
                <w:sz w:val="20"/>
              </w:rPr>
              <w:t>Zugang zu Netzwerken und Netzwerkdiensten</w:t>
            </w:r>
          </w:p>
        </w:tc>
        <w:tc>
          <w:tcPr>
            <w:tcW w:w="5333" w:type="dxa"/>
            <w:tcBorders>
              <w:top w:val="single" w:sz="4" w:space="0" w:color="000000"/>
              <w:right w:val="single" w:sz="12" w:space="0" w:color="000000"/>
            </w:tcBorders>
          </w:tcPr>
          <w:p>
            <w:pPr>
              <w:pStyle w:val="TableParagraph"/>
              <w:spacing w:before="54"/>
              <w:rPr>
                <w:i/>
                <w:sz w:val="20"/>
              </w:rPr>
            </w:pPr>
            <w:r>
              <w:rPr>
                <w:i/>
                <w:sz w:val="20"/>
              </w:rPr>
              <w:t>Maßnahme</w:t>
            </w:r>
          </w:p>
          <w:p>
            <w:pPr>
              <w:pStyle w:val="TableParagraph"/>
              <w:spacing w:before="63"/>
              <w:ind w:right="76"/>
              <w:jc w:val="both"/>
              <w:rPr>
                <w:sz w:val="20"/>
              </w:rPr>
            </w:pPr>
            <w:r>
              <w:rPr>
                <w:sz w:val="20"/>
              </w:rPr>
              <w:t>Benutzer haben ausschließlich Zugang zu denjenigen Netzwerken und Netzwerkdiensten, zu deren Nutzung sie ausdrücklich befugt sind.</w:t>
            </w:r>
          </w:p>
        </w:tc>
      </w:tr>
      <w:tr>
        <w:trPr>
          <w:trHeight w:val="868" w:hRule="atLeast"/>
        </w:trPr>
        <w:tc>
          <w:tcPr>
            <w:tcW w:w="9890" w:type="dxa"/>
            <w:gridSpan w:val="3"/>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A.9.2</w:t>
              <w:tab/>
              <w:t>Benutzerzugangssverwaltung</w:t>
            </w:r>
          </w:p>
          <w:p>
            <w:pPr>
              <w:pStyle w:val="TableParagraph"/>
              <w:spacing w:before="63"/>
              <w:ind w:left="109"/>
              <w:rPr>
                <w:sz w:val="20"/>
              </w:rPr>
            </w:pPr>
            <w:r>
              <w:rPr>
                <w:sz w:val="20"/>
              </w:rPr>
              <w:t>Ziel: Es ist sichergestellt, dass befugte Benutzer Zugang zu Systemen und Diensten haben und unbefugter Zugang unterbunden wird.</w:t>
            </w:r>
          </w:p>
        </w:tc>
      </w:tr>
      <w:tr>
        <w:trPr>
          <w:trHeight w:val="1100" w:hRule="atLeast"/>
        </w:trPr>
        <w:tc>
          <w:tcPr>
            <w:tcW w:w="962" w:type="dxa"/>
            <w:tcBorders>
              <w:left w:val="single" w:sz="12" w:space="0" w:color="000000"/>
            </w:tcBorders>
          </w:tcPr>
          <w:p>
            <w:pPr>
              <w:pStyle w:val="TableParagraph"/>
              <w:spacing w:before="59"/>
              <w:ind w:left="109"/>
              <w:rPr>
                <w:sz w:val="20"/>
              </w:rPr>
            </w:pPr>
            <w:r>
              <w:rPr>
                <w:sz w:val="20"/>
              </w:rPr>
              <w:t>A.9.2.1</w:t>
            </w:r>
          </w:p>
        </w:tc>
        <w:tc>
          <w:tcPr>
            <w:tcW w:w="3595" w:type="dxa"/>
          </w:tcPr>
          <w:p>
            <w:pPr>
              <w:pStyle w:val="TableParagraph"/>
              <w:spacing w:before="59"/>
              <w:ind w:left="117" w:right="441"/>
              <w:rPr>
                <w:sz w:val="20"/>
              </w:rPr>
            </w:pPr>
            <w:r>
              <w:rPr>
                <w:sz w:val="20"/>
              </w:rPr>
              <w:t>Registrierung und Deregistrierung von Benutzern</w:t>
            </w:r>
          </w:p>
        </w:tc>
        <w:tc>
          <w:tcPr>
            <w:tcW w:w="5333" w:type="dxa"/>
            <w:tcBorders>
              <w:right w:val="single" w:sz="12" w:space="0" w:color="000000"/>
            </w:tcBorders>
          </w:tcPr>
          <w:p>
            <w:pPr>
              <w:pStyle w:val="TableParagraph"/>
              <w:rPr>
                <w:i/>
                <w:sz w:val="20"/>
              </w:rPr>
            </w:pPr>
            <w:r>
              <w:rPr>
                <w:i/>
                <w:sz w:val="20"/>
              </w:rPr>
              <w:t>Maßnahme</w:t>
            </w:r>
          </w:p>
          <w:p>
            <w:pPr>
              <w:pStyle w:val="TableParagraph"/>
              <w:spacing w:before="60"/>
              <w:ind w:right="78"/>
              <w:jc w:val="both"/>
              <w:rPr>
                <w:sz w:val="20"/>
              </w:rPr>
            </w:pPr>
            <w:r>
              <w:rPr>
                <w:sz w:val="20"/>
              </w:rPr>
              <w:t>Ein formaler Prozess für die Registrierung und Deregistrierung von Benutzern ist umgesetzt, um die Zuordnung von Zugangsrechten zu ermöglichen.</w:t>
            </w:r>
          </w:p>
        </w:tc>
      </w:tr>
    </w:tbl>
    <w:p>
      <w:pPr>
        <w:pStyle w:val="BodyText"/>
        <w:rPr>
          <w:b/>
        </w:rPr>
      </w:pPr>
    </w:p>
    <w:p>
      <w:pPr>
        <w:pStyle w:val="BodyText"/>
        <w:rPr>
          <w:b/>
        </w:rPr>
      </w:pPr>
    </w:p>
    <w:p>
      <w:pPr>
        <w:pStyle w:val="BodyText"/>
        <w:spacing w:before="3"/>
        <w:rPr>
          <w:b/>
          <w:sz w:val="12"/>
        </w:rPr>
      </w:pPr>
      <w:r>
        <w:rPr/>
        <w:pict>
          <v:shape style="position:absolute;margin-left:70.800003pt;margin-top:9.281453pt;width:144pt;height:.1pt;mso-position-horizontal-relative:page;mso-position-vertical-relative:paragraph;z-index:-251638784;mso-wrap-distance-left:0;mso-wrap-distance-right:0" coordorigin="1416,186" coordsize="2880,0" path="m1416,186l4296,186e" filled="false" stroked="true" strokeweight=".481pt" strokecolor="#000000">
            <v:path arrowok="t"/>
            <v:stroke dashstyle="solid"/>
            <w10:wrap type="topAndBottom"/>
          </v:shape>
        </w:pict>
      </w:r>
    </w:p>
    <w:p>
      <w:pPr>
        <w:pStyle w:val="BodyText"/>
        <w:spacing w:before="4"/>
        <w:rPr>
          <w:b/>
          <w:sz w:val="17"/>
        </w:rPr>
      </w:pPr>
    </w:p>
    <w:p>
      <w:pPr>
        <w:spacing w:before="96"/>
        <w:ind w:left="1156" w:right="0" w:firstLine="0"/>
        <w:jc w:val="left"/>
        <w:rPr>
          <w:sz w:val="18"/>
        </w:rPr>
      </w:pPr>
      <w:r>
        <w:rPr/>
        <w:pict>
          <v:shape style="position:absolute;margin-left:9.663086pt;margin-top:-8.545554pt;width:9.85pt;height:83.7pt;mso-position-horizontal-relative:page;mso-position-vertical-relative:paragraph;z-index:-254698496"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bookmarkStart w:name="_bookmark39" w:id="127"/>
      <w:bookmarkEnd w:id="127"/>
      <w:r>
        <w:rPr/>
      </w:r>
      <w:r>
        <w:rPr>
          <w:position w:val="6"/>
          <w:sz w:val="16"/>
        </w:rPr>
        <w:t>N2) </w:t>
      </w:r>
      <w:r>
        <w:rPr>
          <w:sz w:val="18"/>
        </w:rPr>
        <w:t>Der Zugang kann sowohl physisch als auch logisch erfolgen.</w:t>
      </w:r>
    </w:p>
    <w:p>
      <w:pPr>
        <w:spacing w:after="0"/>
        <w:jc w:val="left"/>
        <w:rPr>
          <w:sz w:val="18"/>
        </w:rPr>
        <w:sectPr>
          <w:pgSz w:w="11910" w:h="16840"/>
          <w:pgMar w:header="710" w:footer="120" w:top="1540" w:bottom="320" w:left="260" w:right="540"/>
        </w:sectPr>
      </w:pPr>
    </w:p>
    <w:p>
      <w:pPr>
        <w:pStyle w:val="BodyText"/>
        <w:spacing w:before="8"/>
        <w:rPr>
          <w:sz w:val="8"/>
        </w:rPr>
      </w:pPr>
      <w:r>
        <w:rPr/>
        <w:pict>
          <v:shape style="position:absolute;margin-left:9.663086pt;margin-top:739.23053pt;width:9.85pt;height:83.7pt;mso-position-horizontal-relative:page;mso-position-vertical-relative:page;z-index:251679744"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p>
    <w:tbl>
      <w:tblPr>
        <w:tblW w:w="0" w:type="auto"/>
        <w:jc w:val="left"/>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
        <w:gridCol w:w="3595"/>
        <w:gridCol w:w="5333"/>
      </w:tblGrid>
      <w:tr>
        <w:trPr>
          <w:trHeight w:val="1329" w:hRule="atLeast"/>
        </w:trPr>
        <w:tc>
          <w:tcPr>
            <w:tcW w:w="962" w:type="dxa"/>
            <w:tcBorders>
              <w:left w:val="single" w:sz="12" w:space="0" w:color="000000"/>
            </w:tcBorders>
          </w:tcPr>
          <w:p>
            <w:pPr>
              <w:pStyle w:val="TableParagraph"/>
              <w:ind w:left="87" w:right="178"/>
              <w:jc w:val="center"/>
              <w:rPr>
                <w:sz w:val="20"/>
              </w:rPr>
            </w:pPr>
            <w:r>
              <w:rPr>
                <w:sz w:val="20"/>
              </w:rPr>
              <w:t>A.9.2.2</w:t>
            </w:r>
          </w:p>
        </w:tc>
        <w:tc>
          <w:tcPr>
            <w:tcW w:w="3595" w:type="dxa"/>
          </w:tcPr>
          <w:p>
            <w:pPr>
              <w:pStyle w:val="TableParagraph"/>
              <w:rPr>
                <w:sz w:val="20"/>
              </w:rPr>
            </w:pPr>
            <w:r>
              <w:rPr>
                <w:sz w:val="20"/>
              </w:rPr>
              <w:t>Zuteilung von Benutzerzugängen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7"/>
              <w:jc w:val="both"/>
              <w:rPr>
                <w:sz w:val="20"/>
              </w:rPr>
            </w:pPr>
            <w:r>
              <w:rPr>
                <w:spacing w:val="-2"/>
                <w:sz w:val="20"/>
              </w:rPr>
              <w:t>Ein </w:t>
            </w:r>
            <w:r>
              <w:rPr>
                <w:sz w:val="20"/>
              </w:rPr>
              <w:t>formaler </w:t>
            </w:r>
            <w:r>
              <w:rPr>
                <w:spacing w:val="-3"/>
                <w:sz w:val="20"/>
              </w:rPr>
              <w:t>Prozess zur </w:t>
            </w:r>
            <w:r>
              <w:rPr>
                <w:sz w:val="20"/>
              </w:rPr>
              <w:t>Zuteilung von</w:t>
            </w:r>
            <w:r>
              <w:rPr>
                <w:spacing w:val="-40"/>
                <w:sz w:val="20"/>
              </w:rPr>
              <w:t> </w:t>
            </w:r>
            <w:r>
              <w:rPr>
                <w:sz w:val="20"/>
              </w:rPr>
              <w:t>Benutzerzugängen </w:t>
            </w:r>
            <w:r>
              <w:rPr>
                <w:spacing w:val="-2"/>
                <w:sz w:val="20"/>
              </w:rPr>
              <w:t>ist </w:t>
            </w:r>
            <w:r>
              <w:rPr>
                <w:sz w:val="20"/>
              </w:rPr>
              <w:t>umgesetzt, um </w:t>
            </w:r>
            <w:r>
              <w:rPr>
                <w:spacing w:val="-3"/>
                <w:sz w:val="20"/>
              </w:rPr>
              <w:t>die </w:t>
            </w:r>
            <w:r>
              <w:rPr>
                <w:sz w:val="20"/>
              </w:rPr>
              <w:t>Zugangsrechte für </w:t>
            </w:r>
            <w:r>
              <w:rPr>
                <w:spacing w:val="-3"/>
                <w:sz w:val="20"/>
              </w:rPr>
              <w:t>alle </w:t>
            </w:r>
            <w:r>
              <w:rPr>
                <w:sz w:val="20"/>
              </w:rPr>
              <w:t>Benutzerarten zu allen Systemen und </w:t>
            </w:r>
            <w:r>
              <w:rPr>
                <w:spacing w:val="-3"/>
                <w:sz w:val="20"/>
              </w:rPr>
              <w:t>Diensten </w:t>
            </w:r>
            <w:r>
              <w:rPr>
                <w:sz w:val="20"/>
              </w:rPr>
              <w:t>zuzuweisen oder zu</w:t>
            </w:r>
            <w:r>
              <w:rPr>
                <w:spacing w:val="-14"/>
                <w:sz w:val="20"/>
              </w:rPr>
              <w:t> </w:t>
            </w:r>
            <w:r>
              <w:rPr>
                <w:sz w:val="20"/>
              </w:rPr>
              <w:t>entziehen.</w:t>
            </w:r>
          </w:p>
        </w:tc>
      </w:tr>
      <w:tr>
        <w:trPr>
          <w:trHeight w:val="870" w:hRule="atLeast"/>
        </w:trPr>
        <w:tc>
          <w:tcPr>
            <w:tcW w:w="962" w:type="dxa"/>
            <w:tcBorders>
              <w:left w:val="single" w:sz="12" w:space="0" w:color="000000"/>
            </w:tcBorders>
          </w:tcPr>
          <w:p>
            <w:pPr>
              <w:pStyle w:val="TableParagraph"/>
              <w:spacing w:before="59"/>
              <w:ind w:left="87" w:right="178"/>
              <w:jc w:val="center"/>
              <w:rPr>
                <w:sz w:val="20"/>
              </w:rPr>
            </w:pPr>
            <w:r>
              <w:rPr>
                <w:sz w:val="20"/>
              </w:rPr>
              <w:t>A.9.2.3</w:t>
            </w:r>
          </w:p>
        </w:tc>
        <w:tc>
          <w:tcPr>
            <w:tcW w:w="3595" w:type="dxa"/>
          </w:tcPr>
          <w:p>
            <w:pPr>
              <w:pStyle w:val="TableParagraph"/>
              <w:spacing w:before="59"/>
              <w:ind w:right="765"/>
              <w:rPr>
                <w:sz w:val="20"/>
              </w:rPr>
            </w:pPr>
            <w:r>
              <w:rPr>
                <w:sz w:val="20"/>
              </w:rPr>
              <w:t>Verwaltung privilegierter Zugangsrechte</w:t>
            </w:r>
          </w:p>
        </w:tc>
        <w:tc>
          <w:tcPr>
            <w:tcW w:w="5333" w:type="dxa"/>
            <w:tcBorders>
              <w:right w:val="single" w:sz="12" w:space="0" w:color="000000"/>
            </w:tcBorders>
          </w:tcPr>
          <w:p>
            <w:pPr>
              <w:pStyle w:val="TableParagraph"/>
              <w:rPr>
                <w:i/>
                <w:sz w:val="20"/>
              </w:rPr>
            </w:pPr>
            <w:r>
              <w:rPr>
                <w:i/>
                <w:sz w:val="20"/>
              </w:rPr>
              <w:t>Maßnahme</w:t>
            </w:r>
          </w:p>
          <w:p>
            <w:pPr>
              <w:pStyle w:val="TableParagraph"/>
              <w:spacing w:before="60"/>
              <w:rPr>
                <w:sz w:val="20"/>
              </w:rPr>
            </w:pPr>
            <w:r>
              <w:rPr>
                <w:spacing w:val="-3"/>
                <w:sz w:val="20"/>
              </w:rPr>
              <w:t>Zuteilung </w:t>
            </w:r>
            <w:r>
              <w:rPr>
                <w:sz w:val="20"/>
              </w:rPr>
              <w:t>und Gebrauch von </w:t>
            </w:r>
            <w:r>
              <w:rPr>
                <w:spacing w:val="-3"/>
                <w:sz w:val="20"/>
              </w:rPr>
              <w:t>privilegierten </w:t>
            </w:r>
            <w:r>
              <w:rPr>
                <w:sz w:val="20"/>
              </w:rPr>
              <w:t>Zugangsrechten </w:t>
            </w:r>
            <w:r>
              <w:rPr>
                <w:spacing w:val="-2"/>
                <w:sz w:val="20"/>
              </w:rPr>
              <w:t>ist </w:t>
            </w:r>
            <w:r>
              <w:rPr>
                <w:sz w:val="20"/>
              </w:rPr>
              <w:t>eingeschränkt und wird gesteuert.</w:t>
            </w:r>
          </w:p>
        </w:tc>
      </w:tr>
      <w:tr>
        <w:trPr>
          <w:trHeight w:val="1100" w:hRule="atLeast"/>
        </w:trPr>
        <w:tc>
          <w:tcPr>
            <w:tcW w:w="962" w:type="dxa"/>
            <w:tcBorders>
              <w:left w:val="single" w:sz="12" w:space="0" w:color="000000"/>
            </w:tcBorders>
          </w:tcPr>
          <w:p>
            <w:pPr>
              <w:pStyle w:val="TableParagraph"/>
              <w:ind w:left="87" w:right="178"/>
              <w:jc w:val="center"/>
              <w:rPr>
                <w:sz w:val="20"/>
              </w:rPr>
            </w:pPr>
            <w:r>
              <w:rPr>
                <w:sz w:val="20"/>
              </w:rPr>
              <w:t>A.9.2.4</w:t>
            </w:r>
          </w:p>
        </w:tc>
        <w:tc>
          <w:tcPr>
            <w:tcW w:w="3595" w:type="dxa"/>
          </w:tcPr>
          <w:p>
            <w:pPr>
              <w:pStyle w:val="TableParagraph"/>
              <w:rPr>
                <w:sz w:val="20"/>
              </w:rPr>
            </w:pPr>
            <w:r>
              <w:rPr>
                <w:sz w:val="20"/>
              </w:rPr>
              <w:t>Verwaltung geheimer Authentisierungsinformation von Benutzern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tabs>
                <w:tab w:pos="1310" w:val="left" w:leader="none"/>
                <w:tab w:pos="3177" w:val="left" w:leader="none"/>
                <w:tab w:pos="4396" w:val="left" w:leader="none"/>
              </w:tabs>
              <w:spacing w:before="63"/>
              <w:ind w:right="75"/>
              <w:jc w:val="both"/>
              <w:rPr>
                <w:sz w:val="20"/>
              </w:rPr>
            </w:pPr>
            <w:r>
              <w:rPr>
                <w:sz w:val="20"/>
              </w:rPr>
              <w:t>Die</w:t>
              <w:tab/>
              <w:t>Zuordnung</w:t>
              <w:tab/>
              <w:t>von</w:t>
              <w:tab/>
            </w:r>
            <w:r>
              <w:rPr>
                <w:w w:val="95"/>
                <w:sz w:val="20"/>
              </w:rPr>
              <w:t>geheimer </w:t>
            </w:r>
            <w:r>
              <w:rPr>
                <w:sz w:val="20"/>
              </w:rPr>
              <w:t>Authentisierungsinformation wird über einen formalen Verwaltungsprozess gesteuert.</w:t>
            </w:r>
          </w:p>
        </w:tc>
      </w:tr>
      <w:tr>
        <w:trPr>
          <w:trHeight w:val="868" w:hRule="atLeast"/>
        </w:trPr>
        <w:tc>
          <w:tcPr>
            <w:tcW w:w="962" w:type="dxa"/>
            <w:tcBorders>
              <w:left w:val="single" w:sz="12" w:space="0" w:color="000000"/>
            </w:tcBorders>
          </w:tcPr>
          <w:p>
            <w:pPr>
              <w:pStyle w:val="TableParagraph"/>
              <w:ind w:left="87" w:right="178"/>
              <w:jc w:val="center"/>
              <w:rPr>
                <w:sz w:val="20"/>
              </w:rPr>
            </w:pPr>
            <w:r>
              <w:rPr>
                <w:sz w:val="20"/>
              </w:rPr>
              <w:t>A.9.2.5</w:t>
            </w:r>
          </w:p>
        </w:tc>
        <w:tc>
          <w:tcPr>
            <w:tcW w:w="3595" w:type="dxa"/>
          </w:tcPr>
          <w:p>
            <w:pPr>
              <w:pStyle w:val="TableParagraph"/>
              <w:rPr>
                <w:sz w:val="20"/>
              </w:rPr>
            </w:pPr>
            <w:r>
              <w:rPr>
                <w:sz w:val="20"/>
              </w:rPr>
              <w:t>Überprüfung von </w:t>
            </w:r>
            <w:r>
              <w:rPr>
                <w:w w:val="95"/>
                <w:sz w:val="20"/>
              </w:rPr>
              <w:t>Benutzerzugangsrechten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rPr>
                <w:sz w:val="20"/>
              </w:rPr>
            </w:pPr>
            <w:r>
              <w:rPr>
                <w:sz w:val="20"/>
              </w:rPr>
              <w:t>Die für Werte Zuständigen überprüfen in regelmäßigen Abständen die Benutzerzugangsrechte.</w:t>
            </w:r>
          </w:p>
        </w:tc>
      </w:tr>
      <w:tr>
        <w:trPr>
          <w:trHeight w:val="1792" w:hRule="atLeast"/>
        </w:trPr>
        <w:tc>
          <w:tcPr>
            <w:tcW w:w="962" w:type="dxa"/>
            <w:tcBorders>
              <w:left w:val="single" w:sz="12" w:space="0" w:color="000000"/>
            </w:tcBorders>
          </w:tcPr>
          <w:p>
            <w:pPr>
              <w:pStyle w:val="TableParagraph"/>
              <w:spacing w:before="59"/>
              <w:ind w:left="87" w:right="178"/>
              <w:jc w:val="center"/>
              <w:rPr>
                <w:sz w:val="20"/>
              </w:rPr>
            </w:pPr>
            <w:r>
              <w:rPr>
                <w:sz w:val="20"/>
              </w:rPr>
              <w:t>A.9.2.6</w:t>
            </w:r>
          </w:p>
        </w:tc>
        <w:tc>
          <w:tcPr>
            <w:tcW w:w="3595" w:type="dxa"/>
          </w:tcPr>
          <w:p>
            <w:pPr>
              <w:pStyle w:val="TableParagraph"/>
              <w:spacing w:before="59"/>
              <w:ind w:right="932"/>
              <w:rPr>
                <w:sz w:val="20"/>
              </w:rPr>
            </w:pPr>
            <w:r>
              <w:rPr>
                <w:sz w:val="20"/>
              </w:rPr>
              <w:t>Entzug oder Anpassung von Zugangsrechten</w:t>
            </w:r>
          </w:p>
        </w:tc>
        <w:tc>
          <w:tcPr>
            <w:tcW w:w="5333" w:type="dxa"/>
            <w:tcBorders>
              <w:right w:val="single" w:sz="12" w:space="0" w:color="000000"/>
            </w:tcBorders>
          </w:tcPr>
          <w:p>
            <w:pPr>
              <w:pStyle w:val="TableParagraph"/>
              <w:rPr>
                <w:i/>
                <w:sz w:val="20"/>
              </w:rPr>
            </w:pPr>
            <w:r>
              <w:rPr>
                <w:i/>
                <w:sz w:val="20"/>
              </w:rPr>
              <w:t>Maßnahme</w:t>
            </w:r>
          </w:p>
          <w:p>
            <w:pPr>
              <w:pStyle w:val="TableParagraph"/>
              <w:spacing w:before="62"/>
              <w:ind w:right="75"/>
              <w:jc w:val="both"/>
              <w:rPr>
                <w:sz w:val="20"/>
              </w:rPr>
            </w:pPr>
            <w:r>
              <w:rPr>
                <w:sz w:val="20"/>
              </w:rPr>
              <w:t>Die Zugangsrechte aller Beschäftigten und Benutzer, die zu externen Parteien gehören, auf Information und informationsverarbeitende Einrichtungen werden bei Beendigung des Beschäftigungsverhältnisses, des Vertrages oder der Vereinbarung entzogen oder bei einer Änderung angepasst.</w:t>
            </w:r>
          </w:p>
        </w:tc>
      </w:tr>
      <w:tr>
        <w:trPr>
          <w:trHeight w:val="637" w:hRule="atLeast"/>
        </w:trPr>
        <w:tc>
          <w:tcPr>
            <w:tcW w:w="9890" w:type="dxa"/>
            <w:gridSpan w:val="3"/>
            <w:tcBorders>
              <w:left w:val="single" w:sz="12" w:space="0" w:color="000000"/>
              <w:right w:val="single" w:sz="12" w:space="0" w:color="000000"/>
            </w:tcBorders>
          </w:tcPr>
          <w:p>
            <w:pPr>
              <w:pStyle w:val="TableParagraph"/>
              <w:tabs>
                <w:tab w:pos="906" w:val="left" w:leader="none"/>
              </w:tabs>
              <w:spacing w:before="54"/>
              <w:ind w:left="107"/>
              <w:rPr>
                <w:b/>
                <w:sz w:val="20"/>
              </w:rPr>
            </w:pPr>
            <w:r>
              <w:rPr>
                <w:b/>
                <w:sz w:val="20"/>
              </w:rPr>
              <w:t>A.9.3</w:t>
              <w:tab/>
              <w:t>Benutzerverantwortlichkeiten</w:t>
            </w:r>
          </w:p>
          <w:p>
            <w:pPr>
              <w:pStyle w:val="TableParagraph"/>
              <w:spacing w:before="63"/>
              <w:ind w:left="107"/>
              <w:rPr>
                <w:sz w:val="20"/>
              </w:rPr>
            </w:pPr>
            <w:r>
              <w:rPr>
                <w:sz w:val="20"/>
              </w:rPr>
              <w:t>Ziel: Benutzer sind für den Schutz ihrer Authentisierungsinformation verantwortlich gemacht.</w:t>
            </w:r>
          </w:p>
        </w:tc>
      </w:tr>
      <w:tr>
        <w:trPr>
          <w:trHeight w:val="1101" w:hRule="atLeast"/>
        </w:trPr>
        <w:tc>
          <w:tcPr>
            <w:tcW w:w="962" w:type="dxa"/>
            <w:tcBorders>
              <w:left w:val="single" w:sz="12" w:space="0" w:color="000000"/>
            </w:tcBorders>
          </w:tcPr>
          <w:p>
            <w:pPr>
              <w:pStyle w:val="TableParagraph"/>
              <w:spacing w:before="59"/>
              <w:ind w:left="87" w:right="178"/>
              <w:jc w:val="center"/>
              <w:rPr>
                <w:sz w:val="20"/>
              </w:rPr>
            </w:pPr>
            <w:r>
              <w:rPr>
                <w:sz w:val="20"/>
              </w:rPr>
              <w:t>A.9.3.1</w:t>
            </w:r>
          </w:p>
        </w:tc>
        <w:tc>
          <w:tcPr>
            <w:tcW w:w="3595" w:type="dxa"/>
          </w:tcPr>
          <w:p>
            <w:pPr>
              <w:pStyle w:val="TableParagraph"/>
              <w:spacing w:before="59"/>
              <w:rPr>
                <w:sz w:val="20"/>
              </w:rPr>
            </w:pPr>
            <w:r>
              <w:rPr>
                <w:sz w:val="20"/>
              </w:rPr>
              <w:t>Gebrauch geheimer </w:t>
            </w:r>
            <w:r>
              <w:rPr>
                <w:w w:val="95"/>
                <w:sz w:val="20"/>
              </w:rPr>
              <w:t>Authentisierungsinformation</w:t>
            </w:r>
          </w:p>
        </w:tc>
        <w:tc>
          <w:tcPr>
            <w:tcW w:w="5333" w:type="dxa"/>
            <w:tcBorders>
              <w:right w:val="single" w:sz="12" w:space="0" w:color="000000"/>
            </w:tcBorders>
          </w:tcPr>
          <w:p>
            <w:pPr>
              <w:pStyle w:val="TableParagraph"/>
              <w:rPr>
                <w:i/>
                <w:sz w:val="20"/>
              </w:rPr>
            </w:pPr>
            <w:r>
              <w:rPr>
                <w:i/>
                <w:sz w:val="20"/>
              </w:rPr>
              <w:t>Maßnahme</w:t>
            </w:r>
          </w:p>
          <w:p>
            <w:pPr>
              <w:pStyle w:val="TableParagraph"/>
              <w:spacing w:before="62"/>
              <w:ind w:right="79"/>
              <w:jc w:val="both"/>
              <w:rPr>
                <w:sz w:val="20"/>
              </w:rPr>
            </w:pPr>
            <w:r>
              <w:rPr>
                <w:sz w:val="20"/>
              </w:rPr>
              <w:t>Benutzer sind verpflichtet, die Regeln der Organisation zur Verwendung geheimer Authentisierungsinformation zu befolgen.</w:t>
            </w:r>
          </w:p>
        </w:tc>
      </w:tr>
      <w:tr>
        <w:trPr>
          <w:trHeight w:val="640" w:hRule="atLeast"/>
        </w:trPr>
        <w:tc>
          <w:tcPr>
            <w:tcW w:w="9890" w:type="dxa"/>
            <w:gridSpan w:val="3"/>
            <w:tcBorders>
              <w:left w:val="single" w:sz="12" w:space="0" w:color="000000"/>
              <w:right w:val="single" w:sz="12" w:space="0" w:color="000000"/>
            </w:tcBorders>
          </w:tcPr>
          <w:p>
            <w:pPr>
              <w:pStyle w:val="TableParagraph"/>
              <w:tabs>
                <w:tab w:pos="906" w:val="left" w:leader="none"/>
              </w:tabs>
              <w:spacing w:before="54"/>
              <w:ind w:left="107"/>
              <w:rPr>
                <w:b/>
                <w:sz w:val="20"/>
              </w:rPr>
            </w:pPr>
            <w:r>
              <w:rPr>
                <w:b/>
                <w:sz w:val="20"/>
              </w:rPr>
              <w:t>A.9.4</w:t>
              <w:tab/>
              <w:t>Zugangssteuerung für Systeme und</w:t>
            </w:r>
            <w:r>
              <w:rPr>
                <w:b/>
                <w:spacing w:val="3"/>
                <w:sz w:val="20"/>
              </w:rPr>
              <w:t> </w:t>
            </w:r>
            <w:r>
              <w:rPr>
                <w:b/>
                <w:sz w:val="20"/>
              </w:rPr>
              <w:t>Anwendungen</w:t>
            </w:r>
          </w:p>
          <w:p>
            <w:pPr>
              <w:pStyle w:val="TableParagraph"/>
              <w:spacing w:before="63"/>
              <w:ind w:left="107"/>
              <w:rPr>
                <w:sz w:val="20"/>
              </w:rPr>
            </w:pPr>
            <w:r>
              <w:rPr>
                <w:sz w:val="20"/>
              </w:rPr>
              <w:t>Ziel: Unbefugter Zugang zu Systemen und Anwendungen ist unterbunden.</w:t>
            </w:r>
          </w:p>
        </w:tc>
      </w:tr>
      <w:tr>
        <w:trPr>
          <w:trHeight w:val="1101" w:hRule="atLeast"/>
        </w:trPr>
        <w:tc>
          <w:tcPr>
            <w:tcW w:w="962" w:type="dxa"/>
            <w:tcBorders>
              <w:left w:val="single" w:sz="12" w:space="0" w:color="000000"/>
            </w:tcBorders>
          </w:tcPr>
          <w:p>
            <w:pPr>
              <w:pStyle w:val="TableParagraph"/>
              <w:ind w:left="87" w:right="178"/>
              <w:jc w:val="center"/>
              <w:rPr>
                <w:sz w:val="20"/>
              </w:rPr>
            </w:pPr>
            <w:r>
              <w:rPr>
                <w:sz w:val="20"/>
              </w:rPr>
              <w:t>A.9.4.1</w:t>
            </w:r>
          </w:p>
        </w:tc>
        <w:tc>
          <w:tcPr>
            <w:tcW w:w="3595" w:type="dxa"/>
          </w:tcPr>
          <w:p>
            <w:pPr>
              <w:pStyle w:val="TableParagraph"/>
              <w:rPr>
                <w:sz w:val="20"/>
              </w:rPr>
            </w:pPr>
            <w:r>
              <w:rPr>
                <w:sz w:val="20"/>
              </w:rPr>
              <w:t>Informationszugangssbeschränkung</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tabs>
                <w:tab w:pos="1758" w:val="left" w:leader="none"/>
                <w:tab w:pos="2935" w:val="left" w:leader="none"/>
                <w:tab w:pos="4900" w:val="left" w:leader="none"/>
              </w:tabs>
              <w:spacing w:before="63"/>
              <w:ind w:right="77"/>
              <w:jc w:val="both"/>
              <w:rPr>
                <w:sz w:val="20"/>
              </w:rPr>
            </w:pPr>
            <w:r>
              <w:rPr>
                <w:sz w:val="20"/>
              </w:rPr>
              <w:t>Zugang</w:t>
              <w:tab/>
              <w:t>zu</w:t>
              <w:tab/>
              <w:t>Information</w:t>
              <w:tab/>
            </w:r>
            <w:r>
              <w:rPr>
                <w:spacing w:val="-7"/>
                <w:sz w:val="20"/>
              </w:rPr>
              <w:t>und </w:t>
            </w:r>
            <w:r>
              <w:rPr>
                <w:sz w:val="20"/>
              </w:rPr>
              <w:t>Anwendungssystemfunktionen ist entsprechend der Zugangssteuerungsrichtlinie</w:t>
            </w:r>
            <w:r>
              <w:rPr>
                <w:spacing w:val="-1"/>
                <w:sz w:val="20"/>
              </w:rPr>
              <w:t> </w:t>
            </w:r>
            <w:r>
              <w:rPr>
                <w:sz w:val="20"/>
              </w:rPr>
              <w:t>eingeschränkt.</w:t>
            </w:r>
          </w:p>
        </w:tc>
      </w:tr>
      <w:tr>
        <w:trPr>
          <w:trHeight w:val="1098" w:hRule="atLeast"/>
        </w:trPr>
        <w:tc>
          <w:tcPr>
            <w:tcW w:w="962" w:type="dxa"/>
            <w:tcBorders>
              <w:left w:val="single" w:sz="12" w:space="0" w:color="000000"/>
            </w:tcBorders>
          </w:tcPr>
          <w:p>
            <w:pPr>
              <w:pStyle w:val="TableParagraph"/>
              <w:ind w:left="87" w:right="178"/>
              <w:jc w:val="center"/>
              <w:rPr>
                <w:sz w:val="20"/>
              </w:rPr>
            </w:pPr>
            <w:r>
              <w:rPr>
                <w:sz w:val="20"/>
              </w:rPr>
              <w:t>A.9.4.2</w:t>
            </w:r>
          </w:p>
        </w:tc>
        <w:tc>
          <w:tcPr>
            <w:tcW w:w="3595" w:type="dxa"/>
          </w:tcPr>
          <w:p>
            <w:pPr>
              <w:pStyle w:val="TableParagraph"/>
              <w:rPr>
                <w:sz w:val="20"/>
              </w:rPr>
            </w:pPr>
            <w:r>
              <w:rPr>
                <w:sz w:val="20"/>
              </w:rPr>
              <w:t>Sichere Anmeldeverfahren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5"/>
              <w:jc w:val="both"/>
              <w:rPr>
                <w:sz w:val="20"/>
              </w:rPr>
            </w:pPr>
            <w:r>
              <w:rPr>
                <w:sz w:val="20"/>
              </w:rPr>
              <w:t>Soweit es die Zugangssteuerungsrichtlinie erfordert, wird der Zugang zu Systemen und Anwendungen durch ein sicheres Anmeldeverfahren gesteuert.</w:t>
            </w:r>
          </w:p>
        </w:tc>
      </w:tr>
      <w:tr>
        <w:trPr>
          <w:trHeight w:val="870" w:hRule="atLeast"/>
        </w:trPr>
        <w:tc>
          <w:tcPr>
            <w:tcW w:w="962" w:type="dxa"/>
            <w:tcBorders>
              <w:left w:val="single" w:sz="12" w:space="0" w:color="000000"/>
              <w:bottom w:val="single" w:sz="4" w:space="0" w:color="000000"/>
            </w:tcBorders>
          </w:tcPr>
          <w:p>
            <w:pPr>
              <w:pStyle w:val="TableParagraph"/>
              <w:ind w:left="87" w:right="178"/>
              <w:jc w:val="center"/>
              <w:rPr>
                <w:sz w:val="20"/>
              </w:rPr>
            </w:pPr>
            <w:r>
              <w:rPr>
                <w:sz w:val="20"/>
              </w:rPr>
              <w:t>A.9.4.3</w:t>
            </w:r>
          </w:p>
        </w:tc>
        <w:tc>
          <w:tcPr>
            <w:tcW w:w="3595" w:type="dxa"/>
            <w:tcBorders>
              <w:bottom w:val="single" w:sz="4" w:space="0" w:color="000000"/>
            </w:tcBorders>
          </w:tcPr>
          <w:p>
            <w:pPr>
              <w:pStyle w:val="TableParagraph"/>
              <w:ind w:right="1011" w:hanging="1"/>
              <w:rPr>
                <w:sz w:val="20"/>
              </w:rPr>
            </w:pPr>
            <w:r>
              <w:rPr>
                <w:sz w:val="20"/>
              </w:rPr>
              <w:t>System zur Verwaltung von Kennwörtern</w:t>
            </w:r>
          </w:p>
        </w:tc>
        <w:tc>
          <w:tcPr>
            <w:tcW w:w="5333" w:type="dxa"/>
            <w:tcBorders>
              <w:bottom w:val="single" w:sz="4" w:space="0" w:color="000000"/>
              <w:right w:val="single" w:sz="12" w:space="0" w:color="000000"/>
            </w:tcBorders>
          </w:tcPr>
          <w:p>
            <w:pPr>
              <w:pStyle w:val="TableParagraph"/>
              <w:spacing w:before="54"/>
              <w:rPr>
                <w:i/>
                <w:sz w:val="20"/>
              </w:rPr>
            </w:pPr>
            <w:r>
              <w:rPr>
                <w:i/>
                <w:sz w:val="20"/>
              </w:rPr>
              <w:t>Maßnahme</w:t>
            </w:r>
          </w:p>
          <w:p>
            <w:pPr>
              <w:pStyle w:val="TableParagraph"/>
              <w:spacing w:before="63"/>
              <w:rPr>
                <w:sz w:val="20"/>
              </w:rPr>
            </w:pPr>
            <w:r>
              <w:rPr>
                <w:sz w:val="20"/>
              </w:rPr>
              <w:t>Systeme zur Verwaltung von Kennwörtern sind interaktiv und stellen starke Kennwörter sicher.</w:t>
            </w:r>
          </w:p>
        </w:tc>
      </w:tr>
      <w:tr>
        <w:trPr>
          <w:trHeight w:val="1098" w:hRule="atLeast"/>
        </w:trPr>
        <w:tc>
          <w:tcPr>
            <w:tcW w:w="962" w:type="dxa"/>
            <w:tcBorders>
              <w:top w:val="single" w:sz="4" w:space="0" w:color="000000"/>
              <w:left w:val="single" w:sz="12" w:space="0" w:color="000000"/>
            </w:tcBorders>
          </w:tcPr>
          <w:p>
            <w:pPr>
              <w:pStyle w:val="TableParagraph"/>
              <w:ind w:left="87" w:right="178"/>
              <w:jc w:val="center"/>
              <w:rPr>
                <w:sz w:val="20"/>
              </w:rPr>
            </w:pPr>
            <w:r>
              <w:rPr>
                <w:sz w:val="20"/>
              </w:rPr>
              <w:t>A.9.4.4</w:t>
            </w:r>
          </w:p>
        </w:tc>
        <w:tc>
          <w:tcPr>
            <w:tcW w:w="3595" w:type="dxa"/>
            <w:tcBorders>
              <w:top w:val="single" w:sz="4" w:space="0" w:color="000000"/>
            </w:tcBorders>
          </w:tcPr>
          <w:p>
            <w:pPr>
              <w:pStyle w:val="TableParagraph"/>
              <w:ind w:right="289" w:hanging="1"/>
              <w:rPr>
                <w:sz w:val="20"/>
              </w:rPr>
            </w:pPr>
            <w:r>
              <w:rPr>
                <w:sz w:val="20"/>
              </w:rPr>
              <w:t>Gebrauch von Hilfsprogrammen mit privilegierten Rechten</w:t>
            </w:r>
          </w:p>
        </w:tc>
        <w:tc>
          <w:tcPr>
            <w:tcW w:w="5333" w:type="dxa"/>
            <w:tcBorders>
              <w:top w:val="single" w:sz="4" w:space="0" w:color="000000"/>
              <w:right w:val="single" w:sz="12" w:space="0" w:color="000000"/>
            </w:tcBorders>
          </w:tcPr>
          <w:p>
            <w:pPr>
              <w:pStyle w:val="TableParagraph"/>
              <w:spacing w:before="54"/>
              <w:rPr>
                <w:i/>
                <w:sz w:val="20"/>
              </w:rPr>
            </w:pPr>
            <w:r>
              <w:rPr>
                <w:i/>
                <w:sz w:val="20"/>
              </w:rPr>
              <w:t>Maßnahme</w:t>
            </w:r>
          </w:p>
          <w:p>
            <w:pPr>
              <w:pStyle w:val="TableParagraph"/>
              <w:spacing w:before="63"/>
              <w:ind w:right="74"/>
              <w:jc w:val="both"/>
              <w:rPr>
                <w:sz w:val="20"/>
              </w:rPr>
            </w:pPr>
            <w:r>
              <w:rPr>
                <w:sz w:val="20"/>
              </w:rPr>
              <w:t>Der Gebrauch von Hilfsprogrammen, die fähig sein könnten, System- und Anwendungsschutzmaßnahmen zu umgehen, ist eingeschränkt und streng</w:t>
            </w:r>
            <w:r>
              <w:rPr>
                <w:spacing w:val="-11"/>
                <w:sz w:val="20"/>
              </w:rPr>
              <w:t> </w:t>
            </w:r>
            <w:r>
              <w:rPr>
                <w:sz w:val="20"/>
              </w:rPr>
              <w:t>überwacht.</w:t>
            </w:r>
          </w:p>
        </w:tc>
      </w:tr>
      <w:tr>
        <w:trPr>
          <w:trHeight w:val="642" w:hRule="atLeast"/>
        </w:trPr>
        <w:tc>
          <w:tcPr>
            <w:tcW w:w="962" w:type="dxa"/>
            <w:tcBorders>
              <w:left w:val="single" w:sz="12" w:space="0" w:color="000000"/>
            </w:tcBorders>
          </w:tcPr>
          <w:p>
            <w:pPr>
              <w:pStyle w:val="TableParagraph"/>
              <w:spacing w:before="59"/>
              <w:ind w:left="87" w:right="178"/>
              <w:jc w:val="center"/>
              <w:rPr>
                <w:sz w:val="20"/>
              </w:rPr>
            </w:pPr>
            <w:r>
              <w:rPr>
                <w:sz w:val="20"/>
              </w:rPr>
              <w:t>A.9.4.5</w:t>
            </w:r>
          </w:p>
        </w:tc>
        <w:tc>
          <w:tcPr>
            <w:tcW w:w="3595" w:type="dxa"/>
          </w:tcPr>
          <w:p>
            <w:pPr>
              <w:pStyle w:val="TableParagraph"/>
              <w:spacing w:before="59"/>
              <w:ind w:right="153"/>
              <w:rPr>
                <w:sz w:val="20"/>
              </w:rPr>
            </w:pPr>
            <w:r>
              <w:rPr>
                <w:sz w:val="20"/>
              </w:rPr>
              <w:t>Zugangssteuerung für Quellcode von Programmen</w:t>
            </w:r>
          </w:p>
        </w:tc>
        <w:tc>
          <w:tcPr>
            <w:tcW w:w="5333" w:type="dxa"/>
            <w:tcBorders>
              <w:right w:val="single" w:sz="12" w:space="0" w:color="000000"/>
            </w:tcBorders>
          </w:tcPr>
          <w:p>
            <w:pPr>
              <w:pStyle w:val="TableParagraph"/>
              <w:rPr>
                <w:i/>
                <w:sz w:val="20"/>
              </w:rPr>
            </w:pPr>
            <w:r>
              <w:rPr>
                <w:i/>
                <w:sz w:val="20"/>
              </w:rPr>
              <w:t>Maßnahme</w:t>
            </w:r>
          </w:p>
          <w:p>
            <w:pPr>
              <w:pStyle w:val="TableParagraph"/>
              <w:spacing w:before="60"/>
              <w:rPr>
                <w:sz w:val="20"/>
              </w:rPr>
            </w:pPr>
            <w:r>
              <w:rPr>
                <w:sz w:val="20"/>
              </w:rPr>
              <w:t>Zugang zu Quellcode von Programmen ist eingeschränkt.</w:t>
            </w:r>
          </w:p>
        </w:tc>
      </w:tr>
    </w:tbl>
    <w:p>
      <w:pPr>
        <w:spacing w:after="0"/>
        <w:rPr>
          <w:sz w:val="20"/>
        </w:rPr>
        <w:sectPr>
          <w:pgSz w:w="11910" w:h="16840"/>
          <w:pgMar w:header="710" w:footer="120" w:top="1540" w:bottom="320" w:left="260" w:right="540"/>
        </w:sectPr>
      </w:pPr>
    </w:p>
    <w:p>
      <w:pPr>
        <w:pStyle w:val="BodyText"/>
        <w:spacing w:before="8"/>
        <w:rPr>
          <w:sz w:val="8"/>
        </w:rPr>
      </w:pPr>
      <w:r>
        <w:rPr/>
        <w:pict>
          <v:shape style="position:absolute;margin-left:9.663086pt;margin-top:739.23053pt;width:9.85pt;height:83.7pt;mso-position-horizontal-relative:page;mso-position-vertical-relative:page;z-index:251680768"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p>
    <w:tbl>
      <w:tblPr>
        <w:tblW w:w="0" w:type="auto"/>
        <w:jc w:val="left"/>
        <w:tblInd w:w="1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
        <w:gridCol w:w="3595"/>
        <w:gridCol w:w="5333"/>
      </w:tblGrid>
      <w:tr>
        <w:trPr>
          <w:trHeight w:val="349" w:hRule="atLeast"/>
        </w:trPr>
        <w:tc>
          <w:tcPr>
            <w:tcW w:w="9890" w:type="dxa"/>
            <w:gridSpan w:val="3"/>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A.10</w:t>
              <w:tab/>
              <w:t>Kryptographie</w:t>
            </w:r>
          </w:p>
        </w:tc>
      </w:tr>
      <w:tr>
        <w:trPr>
          <w:trHeight w:val="870" w:hRule="atLeast"/>
        </w:trPr>
        <w:tc>
          <w:tcPr>
            <w:tcW w:w="9890" w:type="dxa"/>
            <w:gridSpan w:val="3"/>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A.10.1</w:t>
              <w:tab/>
              <w:t>Kryptographische</w:t>
            </w:r>
            <w:r>
              <w:rPr>
                <w:b/>
                <w:spacing w:val="-2"/>
                <w:sz w:val="20"/>
              </w:rPr>
              <w:t> </w:t>
            </w:r>
            <w:r>
              <w:rPr>
                <w:b/>
                <w:sz w:val="20"/>
              </w:rPr>
              <w:t>Maßnahmen</w:t>
            </w:r>
          </w:p>
          <w:p>
            <w:pPr>
              <w:pStyle w:val="TableParagraph"/>
              <w:spacing w:before="63"/>
              <w:ind w:left="109"/>
              <w:rPr>
                <w:sz w:val="20"/>
              </w:rPr>
            </w:pPr>
            <w:r>
              <w:rPr>
                <w:sz w:val="20"/>
              </w:rPr>
              <w:t>Ziel: Der angemessene und wirksame Gebrauch von Kryptographie zum Schutz der Vertraulichkeit, Authentizität oder Integrität von Information ist sichergestellt.</w:t>
            </w:r>
          </w:p>
        </w:tc>
      </w:tr>
      <w:tr>
        <w:trPr>
          <w:trHeight w:val="1098" w:hRule="atLeast"/>
        </w:trPr>
        <w:tc>
          <w:tcPr>
            <w:tcW w:w="962" w:type="dxa"/>
            <w:tcBorders>
              <w:left w:val="single" w:sz="12" w:space="0" w:color="000000"/>
            </w:tcBorders>
          </w:tcPr>
          <w:p>
            <w:pPr>
              <w:pStyle w:val="TableParagraph"/>
              <w:ind w:left="109"/>
              <w:rPr>
                <w:sz w:val="20"/>
              </w:rPr>
            </w:pPr>
            <w:r>
              <w:rPr>
                <w:sz w:val="20"/>
              </w:rPr>
              <w:t>A.10.1.1</w:t>
            </w:r>
          </w:p>
        </w:tc>
        <w:tc>
          <w:tcPr>
            <w:tcW w:w="3595" w:type="dxa"/>
          </w:tcPr>
          <w:p>
            <w:pPr>
              <w:pStyle w:val="TableParagraph"/>
              <w:ind w:left="117" w:right="630"/>
              <w:rPr>
                <w:sz w:val="20"/>
              </w:rPr>
            </w:pPr>
            <w:r>
              <w:rPr>
                <w:sz w:val="20"/>
              </w:rPr>
              <w:t>Richtlinie zum Gebrauch von kryptographischen Maßnahmen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4"/>
              <w:jc w:val="both"/>
              <w:rPr>
                <w:sz w:val="20"/>
              </w:rPr>
            </w:pPr>
            <w:r>
              <w:rPr>
                <w:sz w:val="20"/>
              </w:rPr>
              <w:t>Eine Richtlinie für den Gebrauch von kryptographischen Maßnahmen zum Schutz von Information ist entwickelt und umgesetzt.</w:t>
            </w:r>
          </w:p>
        </w:tc>
      </w:tr>
      <w:tr>
        <w:trPr>
          <w:trHeight w:val="1331" w:hRule="atLeast"/>
        </w:trPr>
        <w:tc>
          <w:tcPr>
            <w:tcW w:w="962" w:type="dxa"/>
            <w:tcBorders>
              <w:left w:val="single" w:sz="12" w:space="0" w:color="000000"/>
            </w:tcBorders>
          </w:tcPr>
          <w:p>
            <w:pPr>
              <w:pStyle w:val="TableParagraph"/>
              <w:spacing w:before="59"/>
              <w:ind w:left="109"/>
              <w:rPr>
                <w:sz w:val="20"/>
              </w:rPr>
            </w:pPr>
            <w:r>
              <w:rPr>
                <w:sz w:val="20"/>
              </w:rPr>
              <w:t>A.10.1.2</w:t>
            </w:r>
          </w:p>
        </w:tc>
        <w:tc>
          <w:tcPr>
            <w:tcW w:w="3595" w:type="dxa"/>
          </w:tcPr>
          <w:p>
            <w:pPr>
              <w:pStyle w:val="TableParagraph"/>
              <w:spacing w:before="59"/>
              <w:ind w:left="117"/>
              <w:rPr>
                <w:sz w:val="20"/>
              </w:rPr>
            </w:pPr>
            <w:r>
              <w:rPr>
                <w:sz w:val="20"/>
              </w:rPr>
              <w:t>Schlüsselverwaltung</w:t>
            </w:r>
          </w:p>
        </w:tc>
        <w:tc>
          <w:tcPr>
            <w:tcW w:w="5333" w:type="dxa"/>
            <w:tcBorders>
              <w:right w:val="single" w:sz="12" w:space="0" w:color="000000"/>
            </w:tcBorders>
          </w:tcPr>
          <w:p>
            <w:pPr>
              <w:pStyle w:val="TableParagraph"/>
              <w:rPr>
                <w:i/>
                <w:sz w:val="20"/>
              </w:rPr>
            </w:pPr>
            <w:r>
              <w:rPr>
                <w:i/>
                <w:sz w:val="20"/>
              </w:rPr>
              <w:t>Maßnahme</w:t>
            </w:r>
          </w:p>
          <w:p>
            <w:pPr>
              <w:pStyle w:val="TableParagraph"/>
              <w:spacing w:before="60"/>
              <w:ind w:right="77"/>
              <w:jc w:val="both"/>
              <w:rPr>
                <w:sz w:val="20"/>
              </w:rPr>
            </w:pPr>
            <w:r>
              <w:rPr>
                <w:sz w:val="20"/>
              </w:rPr>
              <w:t>Eine Richtlinie zum Gebrauch, zum Schutz und zur Lebensdauer von kryptographischen Schlüsseln ist entwickelt und wird über deren gesamten Lebenszyklus umgesetzt.</w:t>
            </w:r>
          </w:p>
        </w:tc>
      </w:tr>
      <w:tr>
        <w:trPr>
          <w:trHeight w:val="349" w:hRule="atLeast"/>
        </w:trPr>
        <w:tc>
          <w:tcPr>
            <w:tcW w:w="9890" w:type="dxa"/>
            <w:gridSpan w:val="3"/>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A.11</w:t>
              <w:tab/>
              <w:t>Physische und umgebungsbezogene</w:t>
            </w:r>
            <w:r>
              <w:rPr>
                <w:b/>
                <w:spacing w:val="-3"/>
                <w:sz w:val="20"/>
              </w:rPr>
              <w:t> </w:t>
            </w:r>
            <w:r>
              <w:rPr>
                <w:b/>
                <w:sz w:val="20"/>
              </w:rPr>
              <w:t>Sicherheit</w:t>
            </w:r>
          </w:p>
        </w:tc>
      </w:tr>
      <w:tr>
        <w:trPr>
          <w:trHeight w:val="870" w:hRule="atLeast"/>
        </w:trPr>
        <w:tc>
          <w:tcPr>
            <w:tcW w:w="9890" w:type="dxa"/>
            <w:gridSpan w:val="3"/>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A.11.1</w:t>
              <w:tab/>
              <w:t>Sicherheitsbereiche</w:t>
            </w:r>
          </w:p>
          <w:p>
            <w:pPr>
              <w:pStyle w:val="TableParagraph"/>
              <w:tabs>
                <w:tab w:pos="731" w:val="left" w:leader="none"/>
                <w:tab w:pos="1964" w:val="left" w:leader="none"/>
                <w:tab w:pos="2778" w:val="left" w:leader="none"/>
                <w:tab w:pos="3289" w:val="left" w:leader="none"/>
                <w:tab w:pos="4801" w:val="left" w:leader="none"/>
                <w:tab w:pos="5379" w:val="left" w:leader="none"/>
                <w:tab w:pos="5891" w:val="left" w:leader="none"/>
                <w:tab w:pos="7637" w:val="left" w:leader="none"/>
                <w:tab w:pos="8204" w:val="left" w:leader="none"/>
                <w:tab w:pos="9449" w:val="left" w:leader="none"/>
              </w:tabs>
              <w:spacing w:before="63"/>
              <w:ind w:left="109" w:right="74"/>
              <w:rPr>
                <w:sz w:val="20"/>
              </w:rPr>
            </w:pPr>
            <w:r>
              <w:rPr>
                <w:sz w:val="20"/>
              </w:rPr>
              <w:t>Ziel:</w:t>
              <w:tab/>
              <w:t>Unbefugter</w:t>
              <w:tab/>
              <w:t>Zutritt,</w:t>
              <w:tab/>
              <w:t>die</w:t>
              <w:tab/>
              <w:t>Beschädigung</w:t>
              <w:tab/>
              <w:t>und</w:t>
              <w:tab/>
              <w:t>die</w:t>
              <w:tab/>
              <w:t>Beeinträchtigung</w:t>
              <w:tab/>
              <w:t>von</w:t>
              <w:tab/>
              <w:t>Information</w:t>
              <w:tab/>
            </w:r>
            <w:r>
              <w:rPr>
                <w:spacing w:val="-6"/>
                <w:sz w:val="20"/>
              </w:rPr>
              <w:t>und </w:t>
            </w:r>
            <w:r>
              <w:rPr>
                <w:sz w:val="20"/>
              </w:rPr>
              <w:t>informationsverarbeitenden Einrichtungen der Organisation sind</w:t>
            </w:r>
            <w:r>
              <w:rPr>
                <w:spacing w:val="-4"/>
                <w:sz w:val="20"/>
              </w:rPr>
              <w:t> </w:t>
            </w:r>
            <w:r>
              <w:rPr>
                <w:sz w:val="20"/>
              </w:rPr>
              <w:t>verhindert.</w:t>
            </w:r>
          </w:p>
        </w:tc>
      </w:tr>
      <w:tr>
        <w:trPr>
          <w:trHeight w:val="1328" w:hRule="atLeast"/>
        </w:trPr>
        <w:tc>
          <w:tcPr>
            <w:tcW w:w="962" w:type="dxa"/>
            <w:tcBorders>
              <w:left w:val="single" w:sz="12" w:space="0" w:color="000000"/>
            </w:tcBorders>
          </w:tcPr>
          <w:p>
            <w:pPr>
              <w:pStyle w:val="TableParagraph"/>
              <w:ind w:left="109"/>
              <w:rPr>
                <w:sz w:val="20"/>
              </w:rPr>
            </w:pPr>
            <w:r>
              <w:rPr>
                <w:sz w:val="20"/>
              </w:rPr>
              <w:t>A.11.1.1</w:t>
            </w:r>
          </w:p>
        </w:tc>
        <w:tc>
          <w:tcPr>
            <w:tcW w:w="3595" w:type="dxa"/>
          </w:tcPr>
          <w:p>
            <w:pPr>
              <w:pStyle w:val="TableParagraph"/>
              <w:ind w:left="117"/>
              <w:rPr>
                <w:sz w:val="20"/>
              </w:rPr>
            </w:pPr>
            <w:r>
              <w:rPr>
                <w:sz w:val="20"/>
              </w:rPr>
              <w:t>Physischer Sicherheitsperimeter</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8"/>
              <w:jc w:val="both"/>
              <w:rPr>
                <w:sz w:val="20"/>
              </w:rPr>
            </w:pPr>
            <w:r>
              <w:rPr>
                <w:sz w:val="20"/>
              </w:rPr>
              <w:t>Zum Schutz von Bereichen, in denen sich entweder sensible oder kritische Information oder informationsverarbeitende Einrichtungen befinden, sind Sicherheitsperimeter festgelegt und werden verwendet.</w:t>
            </w:r>
          </w:p>
        </w:tc>
      </w:tr>
      <w:tr>
        <w:trPr>
          <w:trHeight w:val="1101" w:hRule="atLeast"/>
        </w:trPr>
        <w:tc>
          <w:tcPr>
            <w:tcW w:w="962" w:type="dxa"/>
            <w:tcBorders>
              <w:left w:val="single" w:sz="12" w:space="0" w:color="000000"/>
            </w:tcBorders>
          </w:tcPr>
          <w:p>
            <w:pPr>
              <w:pStyle w:val="TableParagraph"/>
              <w:ind w:left="109"/>
              <w:rPr>
                <w:sz w:val="20"/>
              </w:rPr>
            </w:pPr>
            <w:r>
              <w:rPr>
                <w:sz w:val="20"/>
              </w:rPr>
              <w:t>A.11.1.2</w:t>
            </w:r>
          </w:p>
        </w:tc>
        <w:tc>
          <w:tcPr>
            <w:tcW w:w="3595" w:type="dxa"/>
          </w:tcPr>
          <w:p>
            <w:pPr>
              <w:pStyle w:val="TableParagraph"/>
              <w:ind w:left="117"/>
              <w:rPr>
                <w:sz w:val="20"/>
              </w:rPr>
            </w:pPr>
            <w:r>
              <w:rPr>
                <w:sz w:val="20"/>
              </w:rPr>
              <w:t>Physische Zutrittssteuerung</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8"/>
              <w:jc w:val="both"/>
              <w:rPr>
                <w:sz w:val="20"/>
              </w:rPr>
            </w:pPr>
            <w:r>
              <w:rPr>
                <w:sz w:val="20"/>
              </w:rPr>
              <w:t>Sicherheitsbereiche sind durch eine angemessene Zutrittssteuerung geschützt, um sicherzustellen, dass nur berechtigtes Personal Zugang hat.</w:t>
            </w:r>
          </w:p>
        </w:tc>
      </w:tr>
      <w:tr>
        <w:trPr>
          <w:trHeight w:val="868" w:hRule="atLeast"/>
        </w:trPr>
        <w:tc>
          <w:tcPr>
            <w:tcW w:w="962" w:type="dxa"/>
            <w:tcBorders>
              <w:left w:val="single" w:sz="12" w:space="0" w:color="000000"/>
            </w:tcBorders>
          </w:tcPr>
          <w:p>
            <w:pPr>
              <w:pStyle w:val="TableParagraph"/>
              <w:ind w:left="109"/>
              <w:rPr>
                <w:sz w:val="20"/>
              </w:rPr>
            </w:pPr>
            <w:r>
              <w:rPr>
                <w:sz w:val="20"/>
              </w:rPr>
              <w:t>A.11.1.3</w:t>
            </w:r>
          </w:p>
        </w:tc>
        <w:tc>
          <w:tcPr>
            <w:tcW w:w="3595" w:type="dxa"/>
          </w:tcPr>
          <w:p>
            <w:pPr>
              <w:pStyle w:val="TableParagraph"/>
              <w:ind w:left="117" w:right="552"/>
              <w:rPr>
                <w:sz w:val="20"/>
              </w:rPr>
            </w:pPr>
            <w:r>
              <w:rPr>
                <w:sz w:val="20"/>
              </w:rPr>
              <w:t>Sichern von Büros, Räumen und Einrichtungen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tabs>
                <w:tab w:pos="621" w:val="left" w:leader="none"/>
                <w:tab w:pos="1720" w:val="left" w:leader="none"/>
                <w:tab w:pos="2817" w:val="left" w:leader="none"/>
                <w:tab w:pos="3261" w:val="left" w:leader="none"/>
                <w:tab w:pos="4045" w:val="left" w:leader="none"/>
                <w:tab w:pos="4899" w:val="left" w:leader="none"/>
              </w:tabs>
              <w:spacing w:before="63"/>
              <w:ind w:right="79"/>
              <w:rPr>
                <w:sz w:val="20"/>
              </w:rPr>
            </w:pPr>
            <w:r>
              <w:rPr>
                <w:sz w:val="20"/>
              </w:rPr>
              <w:t>Die</w:t>
              <w:tab/>
              <w:t>physische</w:t>
              <w:tab/>
              <w:t>Sicherheit</w:t>
              <w:tab/>
              <w:t>für</w:t>
              <w:tab/>
              <w:t>Büros,</w:t>
              <w:tab/>
              <w:t>Räume</w:t>
              <w:tab/>
            </w:r>
            <w:r>
              <w:rPr>
                <w:spacing w:val="-7"/>
                <w:sz w:val="20"/>
              </w:rPr>
              <w:t>und </w:t>
            </w:r>
            <w:r>
              <w:rPr>
                <w:sz w:val="20"/>
              </w:rPr>
              <w:t>Einrichtungen ist konzipiert und wird</w:t>
            </w:r>
            <w:r>
              <w:rPr>
                <w:spacing w:val="-8"/>
                <w:sz w:val="20"/>
              </w:rPr>
              <w:t> </w:t>
            </w:r>
            <w:r>
              <w:rPr>
                <w:sz w:val="20"/>
              </w:rPr>
              <w:t>angewendet.</w:t>
            </w:r>
          </w:p>
        </w:tc>
      </w:tr>
      <w:tr>
        <w:trPr>
          <w:trHeight w:val="1101" w:hRule="atLeast"/>
        </w:trPr>
        <w:tc>
          <w:tcPr>
            <w:tcW w:w="962" w:type="dxa"/>
            <w:tcBorders>
              <w:left w:val="single" w:sz="12" w:space="0" w:color="000000"/>
            </w:tcBorders>
          </w:tcPr>
          <w:p>
            <w:pPr>
              <w:pStyle w:val="TableParagraph"/>
              <w:spacing w:before="59"/>
              <w:ind w:left="109"/>
              <w:rPr>
                <w:sz w:val="20"/>
              </w:rPr>
            </w:pPr>
            <w:r>
              <w:rPr>
                <w:sz w:val="20"/>
              </w:rPr>
              <w:t>A.11.1.4</w:t>
            </w:r>
          </w:p>
        </w:tc>
        <w:tc>
          <w:tcPr>
            <w:tcW w:w="3595" w:type="dxa"/>
          </w:tcPr>
          <w:p>
            <w:pPr>
              <w:pStyle w:val="TableParagraph"/>
              <w:spacing w:before="59"/>
              <w:ind w:left="117" w:right="674"/>
              <w:rPr>
                <w:sz w:val="20"/>
              </w:rPr>
            </w:pPr>
            <w:r>
              <w:rPr>
                <w:sz w:val="20"/>
              </w:rPr>
              <w:t>Schutz vor externen und umweltbedingten Bedrohungen</w:t>
            </w:r>
          </w:p>
        </w:tc>
        <w:tc>
          <w:tcPr>
            <w:tcW w:w="5333" w:type="dxa"/>
            <w:tcBorders>
              <w:right w:val="single" w:sz="12" w:space="0" w:color="000000"/>
            </w:tcBorders>
          </w:tcPr>
          <w:p>
            <w:pPr>
              <w:pStyle w:val="TableParagraph"/>
              <w:rPr>
                <w:i/>
                <w:sz w:val="20"/>
              </w:rPr>
            </w:pPr>
            <w:r>
              <w:rPr>
                <w:i/>
                <w:sz w:val="20"/>
              </w:rPr>
              <w:t>Maßnahme</w:t>
            </w:r>
          </w:p>
          <w:p>
            <w:pPr>
              <w:pStyle w:val="TableParagraph"/>
              <w:spacing w:before="60"/>
              <w:ind w:right="78"/>
              <w:jc w:val="both"/>
              <w:rPr>
                <w:sz w:val="20"/>
              </w:rPr>
            </w:pPr>
            <w:r>
              <w:rPr>
                <w:sz w:val="20"/>
              </w:rPr>
              <w:t>Physischer Schutz vor Naturkatastrophen, bösartigen Angriffen oder Unfällen ist konzipiert und wird angewendet.</w:t>
            </w:r>
          </w:p>
        </w:tc>
      </w:tr>
      <w:tr>
        <w:trPr>
          <w:trHeight w:val="870" w:hRule="atLeast"/>
        </w:trPr>
        <w:tc>
          <w:tcPr>
            <w:tcW w:w="962" w:type="dxa"/>
            <w:tcBorders>
              <w:left w:val="single" w:sz="12" w:space="0" w:color="000000"/>
              <w:bottom w:val="single" w:sz="4" w:space="0" w:color="000000"/>
            </w:tcBorders>
          </w:tcPr>
          <w:p>
            <w:pPr>
              <w:pStyle w:val="TableParagraph"/>
              <w:ind w:left="109"/>
              <w:rPr>
                <w:sz w:val="20"/>
              </w:rPr>
            </w:pPr>
            <w:r>
              <w:rPr>
                <w:sz w:val="20"/>
              </w:rPr>
              <w:t>A.11.1.5</w:t>
            </w:r>
          </w:p>
        </w:tc>
        <w:tc>
          <w:tcPr>
            <w:tcW w:w="3595" w:type="dxa"/>
            <w:tcBorders>
              <w:bottom w:val="single" w:sz="4" w:space="0" w:color="000000"/>
            </w:tcBorders>
          </w:tcPr>
          <w:p>
            <w:pPr>
              <w:pStyle w:val="TableParagraph"/>
              <w:ind w:left="117"/>
              <w:rPr>
                <w:sz w:val="20"/>
              </w:rPr>
            </w:pPr>
            <w:r>
              <w:rPr>
                <w:sz w:val="20"/>
              </w:rPr>
              <w:t>Arbeiten in Sicherheitsbereichen</w:t>
            </w:r>
          </w:p>
        </w:tc>
        <w:tc>
          <w:tcPr>
            <w:tcW w:w="5333" w:type="dxa"/>
            <w:tcBorders>
              <w:bottom w:val="single" w:sz="4" w:space="0" w:color="000000"/>
              <w:right w:val="single" w:sz="12" w:space="0" w:color="000000"/>
            </w:tcBorders>
          </w:tcPr>
          <w:p>
            <w:pPr>
              <w:pStyle w:val="TableParagraph"/>
              <w:spacing w:before="54"/>
              <w:rPr>
                <w:i/>
                <w:sz w:val="20"/>
              </w:rPr>
            </w:pPr>
            <w:r>
              <w:rPr>
                <w:i/>
                <w:sz w:val="20"/>
              </w:rPr>
              <w:t>Maßnahme</w:t>
            </w:r>
          </w:p>
          <w:p>
            <w:pPr>
              <w:pStyle w:val="TableParagraph"/>
              <w:spacing w:before="63"/>
              <w:rPr>
                <w:sz w:val="20"/>
              </w:rPr>
            </w:pPr>
            <w:r>
              <w:rPr>
                <w:sz w:val="20"/>
              </w:rPr>
              <w:t>Verfahren für das Arbeiten in Sicherheitsbereichen sind konzipiert und werden angewendet.</w:t>
            </w:r>
          </w:p>
        </w:tc>
      </w:tr>
      <w:tr>
        <w:trPr>
          <w:trHeight w:val="1789" w:hRule="atLeast"/>
        </w:trPr>
        <w:tc>
          <w:tcPr>
            <w:tcW w:w="962" w:type="dxa"/>
            <w:tcBorders>
              <w:top w:val="single" w:sz="4" w:space="0" w:color="000000"/>
              <w:left w:val="single" w:sz="12" w:space="0" w:color="000000"/>
            </w:tcBorders>
          </w:tcPr>
          <w:p>
            <w:pPr>
              <w:pStyle w:val="TableParagraph"/>
              <w:ind w:left="109"/>
              <w:rPr>
                <w:sz w:val="20"/>
              </w:rPr>
            </w:pPr>
            <w:r>
              <w:rPr>
                <w:sz w:val="20"/>
              </w:rPr>
              <w:t>A.11.1.6</w:t>
            </w:r>
          </w:p>
        </w:tc>
        <w:tc>
          <w:tcPr>
            <w:tcW w:w="3595" w:type="dxa"/>
            <w:tcBorders>
              <w:top w:val="single" w:sz="4" w:space="0" w:color="000000"/>
            </w:tcBorders>
          </w:tcPr>
          <w:p>
            <w:pPr>
              <w:pStyle w:val="TableParagraph"/>
              <w:ind w:left="117"/>
              <w:rPr>
                <w:sz w:val="20"/>
              </w:rPr>
            </w:pPr>
            <w:r>
              <w:rPr>
                <w:sz w:val="20"/>
              </w:rPr>
              <w:t>Anlieferungs- und Ladebereiche</w:t>
            </w:r>
          </w:p>
        </w:tc>
        <w:tc>
          <w:tcPr>
            <w:tcW w:w="5333" w:type="dxa"/>
            <w:tcBorders>
              <w:top w:val="single" w:sz="4" w:space="0" w:color="000000"/>
              <w:right w:val="single" w:sz="12" w:space="0" w:color="000000"/>
            </w:tcBorders>
          </w:tcPr>
          <w:p>
            <w:pPr>
              <w:pStyle w:val="TableParagraph"/>
              <w:spacing w:before="54"/>
              <w:rPr>
                <w:i/>
                <w:sz w:val="20"/>
              </w:rPr>
            </w:pPr>
            <w:r>
              <w:rPr>
                <w:i/>
                <w:sz w:val="20"/>
              </w:rPr>
              <w:t>Maßnahme</w:t>
            </w:r>
          </w:p>
          <w:p>
            <w:pPr>
              <w:pStyle w:val="TableParagraph"/>
              <w:spacing w:before="63"/>
              <w:ind w:right="76"/>
              <w:jc w:val="both"/>
              <w:rPr>
                <w:sz w:val="20"/>
              </w:rPr>
            </w:pPr>
            <w:r>
              <w:rPr>
                <w:sz w:val="20"/>
              </w:rPr>
              <w:t>Zutrittsstellen wie Anlieferungs- und Ladebereiche sowie andere Stellen, über die unbefugte Personen die Räumlichkeiten betreten könnten, werden überwacht und sind, falls möglich, von informationsverarbeitenden Einrichtungen getrennt, um unbefugten Zutritt zu verhindern.</w:t>
            </w:r>
          </w:p>
        </w:tc>
      </w:tr>
    </w:tbl>
    <w:p>
      <w:pPr>
        <w:spacing w:after="0"/>
        <w:jc w:val="both"/>
        <w:rPr>
          <w:sz w:val="20"/>
        </w:rPr>
        <w:sectPr>
          <w:pgSz w:w="11910" w:h="16840"/>
          <w:pgMar w:header="710" w:footer="120" w:top="1540" w:bottom="320" w:left="260" w:right="540"/>
        </w:sectPr>
      </w:pPr>
    </w:p>
    <w:p>
      <w:pPr>
        <w:pStyle w:val="BodyText"/>
        <w:spacing w:before="8"/>
        <w:rPr>
          <w:sz w:val="8"/>
        </w:rPr>
      </w:pPr>
    </w:p>
    <w:tbl>
      <w:tblPr>
        <w:tblW w:w="0" w:type="auto"/>
        <w:jc w:val="left"/>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
        <w:gridCol w:w="3595"/>
        <w:gridCol w:w="5333"/>
      </w:tblGrid>
      <w:tr>
        <w:trPr>
          <w:trHeight w:val="870" w:hRule="atLeast"/>
        </w:trPr>
        <w:tc>
          <w:tcPr>
            <w:tcW w:w="9890" w:type="dxa"/>
            <w:gridSpan w:val="3"/>
            <w:tcBorders>
              <w:left w:val="single" w:sz="12" w:space="0" w:color="000000"/>
              <w:right w:val="single" w:sz="12" w:space="0" w:color="000000"/>
            </w:tcBorders>
          </w:tcPr>
          <w:p>
            <w:pPr>
              <w:pStyle w:val="TableParagraph"/>
              <w:tabs>
                <w:tab w:pos="906" w:val="left" w:leader="none"/>
              </w:tabs>
              <w:spacing w:before="54"/>
              <w:ind w:left="107"/>
              <w:rPr>
                <w:b/>
                <w:sz w:val="20"/>
              </w:rPr>
            </w:pPr>
            <w:r>
              <w:rPr>
                <w:b/>
                <w:sz w:val="20"/>
              </w:rPr>
              <w:t>A.11.2</w:t>
              <w:tab/>
              <w:t>Geräte und</w:t>
            </w:r>
            <w:r>
              <w:rPr>
                <w:b/>
                <w:spacing w:val="-2"/>
                <w:sz w:val="20"/>
              </w:rPr>
              <w:t> </w:t>
            </w:r>
            <w:r>
              <w:rPr>
                <w:b/>
                <w:sz w:val="20"/>
              </w:rPr>
              <w:t>Betriebsmittel</w:t>
            </w:r>
          </w:p>
          <w:p>
            <w:pPr>
              <w:pStyle w:val="TableParagraph"/>
              <w:spacing w:before="63"/>
              <w:ind w:left="107"/>
              <w:rPr>
                <w:sz w:val="20"/>
              </w:rPr>
            </w:pPr>
            <w:r>
              <w:rPr>
                <w:sz w:val="20"/>
              </w:rPr>
              <w:t>Ziel: Verlust, Beschädigung, Diebstahl oder Gefährdung von Werten und die Unterbrechung von Organisationstätigkeiten sind unterbunden.</w:t>
            </w:r>
          </w:p>
        </w:tc>
      </w:tr>
      <w:tr>
        <w:trPr>
          <w:trHeight w:val="1329" w:hRule="atLeast"/>
        </w:trPr>
        <w:tc>
          <w:tcPr>
            <w:tcW w:w="962" w:type="dxa"/>
            <w:tcBorders>
              <w:left w:val="single" w:sz="12" w:space="0" w:color="000000"/>
            </w:tcBorders>
          </w:tcPr>
          <w:p>
            <w:pPr>
              <w:pStyle w:val="TableParagraph"/>
              <w:ind w:left="0" w:right="88"/>
              <w:jc w:val="right"/>
              <w:rPr>
                <w:sz w:val="20"/>
              </w:rPr>
            </w:pPr>
            <w:r>
              <w:rPr>
                <w:w w:val="95"/>
                <w:sz w:val="20"/>
              </w:rPr>
              <w:t>A.11.2.1</w:t>
            </w:r>
          </w:p>
        </w:tc>
        <w:tc>
          <w:tcPr>
            <w:tcW w:w="3595" w:type="dxa"/>
          </w:tcPr>
          <w:p>
            <w:pPr>
              <w:pStyle w:val="TableParagraph"/>
              <w:rPr>
                <w:sz w:val="20"/>
              </w:rPr>
            </w:pPr>
            <w:r>
              <w:rPr>
                <w:sz w:val="20"/>
              </w:rPr>
              <w:t>Platzierung und Schutz von Geräten und Betriebsmitteln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8"/>
              <w:jc w:val="both"/>
              <w:rPr>
                <w:sz w:val="20"/>
              </w:rPr>
            </w:pPr>
            <w:r>
              <w:rPr>
                <w:sz w:val="20"/>
              </w:rPr>
              <w:t>Geräte und Betriebsmittel sind so platziert und geschützt, dass Risiken durch umweltbedingte Bedrohungen und Gefahren sowie Möglichkeiten des unbefugten Zugangs verringert sind.</w:t>
            </w:r>
          </w:p>
        </w:tc>
      </w:tr>
      <w:tr>
        <w:trPr>
          <w:trHeight w:val="1100" w:hRule="atLeast"/>
        </w:trPr>
        <w:tc>
          <w:tcPr>
            <w:tcW w:w="962" w:type="dxa"/>
            <w:tcBorders>
              <w:left w:val="single" w:sz="12" w:space="0" w:color="000000"/>
            </w:tcBorders>
          </w:tcPr>
          <w:p>
            <w:pPr>
              <w:pStyle w:val="TableParagraph"/>
              <w:ind w:left="0" w:right="88"/>
              <w:jc w:val="right"/>
              <w:rPr>
                <w:sz w:val="20"/>
              </w:rPr>
            </w:pPr>
            <w:r>
              <w:rPr>
                <w:w w:val="95"/>
                <w:sz w:val="20"/>
              </w:rPr>
              <w:t>A.11.2.2</w:t>
            </w:r>
          </w:p>
        </w:tc>
        <w:tc>
          <w:tcPr>
            <w:tcW w:w="3595" w:type="dxa"/>
          </w:tcPr>
          <w:p>
            <w:pPr>
              <w:pStyle w:val="TableParagraph"/>
              <w:spacing w:before="58"/>
              <w:rPr>
                <w:sz w:val="16"/>
              </w:rPr>
            </w:pPr>
            <w:r>
              <w:rPr>
                <w:sz w:val="20"/>
              </w:rPr>
              <w:t>Versorgungseinrichtungen</w:t>
            </w:r>
            <w:hyperlink w:history="true" w:anchor="_bookmark40">
              <w:r>
                <w:rPr>
                  <w:position w:val="6"/>
                  <w:sz w:val="16"/>
                </w:rPr>
                <w:t>N3)</w:t>
              </w:r>
            </w:hyperlink>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8"/>
              <w:jc w:val="both"/>
              <w:rPr>
                <w:sz w:val="20"/>
              </w:rPr>
            </w:pPr>
            <w:r>
              <w:rPr>
                <w:sz w:val="20"/>
              </w:rPr>
              <w:t>Geräte und Betriebsmittel sind vor Stromausfällen und anderen Störungen, die durch Ausfälle von Versorgungseinrichtungen verursacht werden, geschützt.</w:t>
            </w:r>
          </w:p>
        </w:tc>
      </w:tr>
      <w:tr>
        <w:trPr>
          <w:trHeight w:val="1329" w:hRule="atLeast"/>
        </w:trPr>
        <w:tc>
          <w:tcPr>
            <w:tcW w:w="962" w:type="dxa"/>
            <w:tcBorders>
              <w:left w:val="single" w:sz="12" w:space="0" w:color="000000"/>
            </w:tcBorders>
          </w:tcPr>
          <w:p>
            <w:pPr>
              <w:pStyle w:val="TableParagraph"/>
              <w:ind w:left="0" w:right="88"/>
              <w:jc w:val="right"/>
              <w:rPr>
                <w:sz w:val="20"/>
              </w:rPr>
            </w:pPr>
            <w:r>
              <w:rPr>
                <w:w w:val="95"/>
                <w:sz w:val="20"/>
              </w:rPr>
              <w:t>A.11.2.3</w:t>
            </w:r>
          </w:p>
        </w:tc>
        <w:tc>
          <w:tcPr>
            <w:tcW w:w="3595" w:type="dxa"/>
          </w:tcPr>
          <w:p>
            <w:pPr>
              <w:pStyle w:val="TableParagraph"/>
              <w:rPr>
                <w:sz w:val="20"/>
              </w:rPr>
            </w:pPr>
            <w:r>
              <w:rPr>
                <w:sz w:val="20"/>
              </w:rPr>
              <w:t>Sicherheit der Verkabelung</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8"/>
              <w:jc w:val="both"/>
              <w:rPr>
                <w:sz w:val="20"/>
              </w:rPr>
            </w:pPr>
            <w:r>
              <w:rPr>
                <w:sz w:val="20"/>
              </w:rPr>
              <w:t>Telekommunikationsverkabelung, welche Daten trägt oder Informationsdienste unterstützt, und die Stromverkabelung sind vor Unterbrechung, Störung oder Beschädigung geschützt.</w:t>
            </w:r>
          </w:p>
        </w:tc>
      </w:tr>
      <w:tr>
        <w:trPr>
          <w:trHeight w:val="1100" w:hRule="atLeast"/>
        </w:trPr>
        <w:tc>
          <w:tcPr>
            <w:tcW w:w="962" w:type="dxa"/>
            <w:tcBorders>
              <w:left w:val="single" w:sz="12" w:space="0" w:color="000000"/>
            </w:tcBorders>
          </w:tcPr>
          <w:p>
            <w:pPr>
              <w:pStyle w:val="TableParagraph"/>
              <w:ind w:left="0" w:right="88"/>
              <w:jc w:val="right"/>
              <w:rPr>
                <w:sz w:val="20"/>
              </w:rPr>
            </w:pPr>
            <w:r>
              <w:rPr>
                <w:w w:val="95"/>
                <w:sz w:val="20"/>
              </w:rPr>
              <w:t>A.11.2.4</w:t>
            </w:r>
          </w:p>
        </w:tc>
        <w:tc>
          <w:tcPr>
            <w:tcW w:w="3595" w:type="dxa"/>
          </w:tcPr>
          <w:p>
            <w:pPr>
              <w:pStyle w:val="TableParagraph"/>
              <w:rPr>
                <w:sz w:val="20"/>
              </w:rPr>
            </w:pPr>
            <w:r>
              <w:rPr>
                <w:sz w:val="20"/>
              </w:rPr>
              <w:t>Instandhalten von Geräten und Betriebsmitteln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8"/>
              <w:jc w:val="both"/>
              <w:rPr>
                <w:sz w:val="20"/>
              </w:rPr>
            </w:pPr>
            <w:r>
              <w:rPr>
                <w:sz w:val="20"/>
              </w:rPr>
              <w:t>Geräte und Betriebsmittel werden Instand gehalten, um ihre fortgesetzte Verfügbarkeit und Integrität sicherzustellen.</w:t>
            </w:r>
          </w:p>
        </w:tc>
      </w:tr>
      <w:tr>
        <w:trPr>
          <w:trHeight w:val="1098" w:hRule="atLeast"/>
        </w:trPr>
        <w:tc>
          <w:tcPr>
            <w:tcW w:w="962" w:type="dxa"/>
            <w:tcBorders>
              <w:left w:val="single" w:sz="12" w:space="0" w:color="000000"/>
            </w:tcBorders>
          </w:tcPr>
          <w:p>
            <w:pPr>
              <w:pStyle w:val="TableParagraph"/>
              <w:ind w:left="0" w:right="88"/>
              <w:jc w:val="right"/>
              <w:rPr>
                <w:sz w:val="20"/>
              </w:rPr>
            </w:pPr>
            <w:r>
              <w:rPr>
                <w:w w:val="95"/>
                <w:sz w:val="20"/>
              </w:rPr>
              <w:t>A.11.2.5</w:t>
            </w:r>
          </w:p>
        </w:tc>
        <w:tc>
          <w:tcPr>
            <w:tcW w:w="3595" w:type="dxa"/>
          </w:tcPr>
          <w:p>
            <w:pPr>
              <w:pStyle w:val="TableParagraph"/>
              <w:rPr>
                <w:sz w:val="20"/>
              </w:rPr>
            </w:pPr>
            <w:r>
              <w:rPr>
                <w:sz w:val="20"/>
              </w:rPr>
              <w:t>Entfernen von Werten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80"/>
              <w:jc w:val="both"/>
              <w:rPr>
                <w:sz w:val="20"/>
              </w:rPr>
            </w:pPr>
            <w:r>
              <w:rPr>
                <w:sz w:val="20"/>
              </w:rPr>
              <w:t>Geräte, Betriebsmittel, Information oder Software werden nicht ohne vorherige Genehmigung vom Betriebsgelände entfernt.</w:t>
            </w:r>
          </w:p>
        </w:tc>
      </w:tr>
      <w:tr>
        <w:trPr>
          <w:trHeight w:val="1101" w:hRule="atLeast"/>
        </w:trPr>
        <w:tc>
          <w:tcPr>
            <w:tcW w:w="962" w:type="dxa"/>
            <w:tcBorders>
              <w:left w:val="single" w:sz="12" w:space="0" w:color="000000"/>
            </w:tcBorders>
          </w:tcPr>
          <w:p>
            <w:pPr>
              <w:pStyle w:val="TableParagraph"/>
              <w:spacing w:before="59"/>
              <w:ind w:left="0" w:right="88"/>
              <w:jc w:val="right"/>
              <w:rPr>
                <w:sz w:val="20"/>
              </w:rPr>
            </w:pPr>
            <w:r>
              <w:rPr>
                <w:w w:val="95"/>
                <w:sz w:val="20"/>
              </w:rPr>
              <w:t>A.11.2.6</w:t>
            </w:r>
          </w:p>
        </w:tc>
        <w:tc>
          <w:tcPr>
            <w:tcW w:w="3595" w:type="dxa"/>
          </w:tcPr>
          <w:p>
            <w:pPr>
              <w:pStyle w:val="TableParagraph"/>
              <w:spacing w:before="59"/>
              <w:ind w:right="61"/>
              <w:rPr>
                <w:sz w:val="20"/>
              </w:rPr>
            </w:pPr>
            <w:r>
              <w:rPr>
                <w:sz w:val="20"/>
              </w:rPr>
              <w:t>Sicherheit von Geräten, Betriebsmitteln und Werten außerhalb der Räumlichkeiten</w:t>
            </w:r>
          </w:p>
        </w:tc>
        <w:tc>
          <w:tcPr>
            <w:tcW w:w="5333" w:type="dxa"/>
            <w:tcBorders>
              <w:right w:val="single" w:sz="12" w:space="0" w:color="000000"/>
            </w:tcBorders>
          </w:tcPr>
          <w:p>
            <w:pPr>
              <w:pStyle w:val="TableParagraph"/>
              <w:rPr>
                <w:i/>
                <w:sz w:val="20"/>
              </w:rPr>
            </w:pPr>
            <w:r>
              <w:rPr>
                <w:i/>
                <w:sz w:val="20"/>
              </w:rPr>
              <w:t>Maßnahme</w:t>
            </w:r>
          </w:p>
          <w:p>
            <w:pPr>
              <w:pStyle w:val="TableParagraph"/>
              <w:spacing w:before="60"/>
              <w:ind w:right="77"/>
              <w:jc w:val="both"/>
              <w:rPr>
                <w:sz w:val="20"/>
              </w:rPr>
            </w:pPr>
            <w:r>
              <w:rPr>
                <w:sz w:val="20"/>
              </w:rPr>
              <w:t>Werte außerhalb des Standorts werden gesichert, um die verschiedenen Risiken beim Betrieb außerhalb der Räumlichkeiten der Organisation zu berücksichtigen.</w:t>
            </w:r>
          </w:p>
        </w:tc>
      </w:tr>
      <w:tr>
        <w:trPr>
          <w:trHeight w:val="1789" w:hRule="atLeast"/>
        </w:trPr>
        <w:tc>
          <w:tcPr>
            <w:tcW w:w="962" w:type="dxa"/>
            <w:tcBorders>
              <w:left w:val="single" w:sz="12" w:space="0" w:color="000000"/>
            </w:tcBorders>
          </w:tcPr>
          <w:p>
            <w:pPr>
              <w:pStyle w:val="TableParagraph"/>
              <w:ind w:left="0" w:right="88"/>
              <w:jc w:val="right"/>
              <w:rPr>
                <w:sz w:val="20"/>
              </w:rPr>
            </w:pPr>
            <w:r>
              <w:rPr>
                <w:w w:val="95"/>
                <w:sz w:val="20"/>
              </w:rPr>
              <w:t>A.11.2.7</w:t>
            </w:r>
          </w:p>
        </w:tc>
        <w:tc>
          <w:tcPr>
            <w:tcW w:w="3595" w:type="dxa"/>
          </w:tcPr>
          <w:p>
            <w:pPr>
              <w:pStyle w:val="TableParagraph"/>
              <w:rPr>
                <w:sz w:val="20"/>
              </w:rPr>
            </w:pPr>
            <w:r>
              <w:rPr>
                <w:sz w:val="20"/>
              </w:rPr>
              <w:t>Sichere Entsorgung oder Wiederverwendung von Geräten und Betriebsmitteln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8"/>
              <w:jc w:val="both"/>
              <w:rPr>
                <w:sz w:val="20"/>
              </w:rPr>
            </w:pPr>
            <w:r>
              <w:rPr>
                <w:sz w:val="20"/>
              </w:rPr>
              <w:t>Alle Arten von Geräten und Betriebsmitteln, die Speichermedien enthalten, werden überprüft, um sicherzustellen, dass jegliche sensiblen Daten und lizenzierte Software vor ihrer Entsorgung oder Wiederverwendung entfernt oder sicher überschrieben worden sind.</w:t>
            </w:r>
          </w:p>
        </w:tc>
      </w:tr>
      <w:tr>
        <w:trPr>
          <w:trHeight w:val="870" w:hRule="atLeast"/>
        </w:trPr>
        <w:tc>
          <w:tcPr>
            <w:tcW w:w="962" w:type="dxa"/>
            <w:tcBorders>
              <w:left w:val="single" w:sz="12" w:space="0" w:color="000000"/>
            </w:tcBorders>
          </w:tcPr>
          <w:p>
            <w:pPr>
              <w:pStyle w:val="TableParagraph"/>
              <w:ind w:left="0" w:right="88"/>
              <w:jc w:val="right"/>
              <w:rPr>
                <w:sz w:val="20"/>
              </w:rPr>
            </w:pPr>
            <w:r>
              <w:rPr>
                <w:w w:val="95"/>
                <w:sz w:val="20"/>
              </w:rPr>
              <w:t>A.11.2.8</w:t>
            </w:r>
          </w:p>
        </w:tc>
        <w:tc>
          <w:tcPr>
            <w:tcW w:w="3595" w:type="dxa"/>
          </w:tcPr>
          <w:p>
            <w:pPr>
              <w:pStyle w:val="TableParagraph"/>
              <w:rPr>
                <w:sz w:val="20"/>
              </w:rPr>
            </w:pPr>
            <w:r>
              <w:rPr>
                <w:sz w:val="20"/>
              </w:rPr>
              <w:t>Unbeaufsichtigte Benutzergeräte</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125"/>
              <w:rPr>
                <w:sz w:val="20"/>
              </w:rPr>
            </w:pPr>
            <w:r>
              <w:rPr>
                <w:sz w:val="20"/>
              </w:rPr>
              <w:t>Benutzer stellen sicher, dass unbeaufsichtigte Geräte und Betriebsmittel angemessen geschützt</w:t>
            </w:r>
            <w:r>
              <w:rPr>
                <w:spacing w:val="-6"/>
                <w:sz w:val="20"/>
              </w:rPr>
              <w:t> </w:t>
            </w:r>
            <w:r>
              <w:rPr>
                <w:sz w:val="20"/>
              </w:rPr>
              <w:t>sind.</w:t>
            </w:r>
          </w:p>
        </w:tc>
      </w:tr>
      <w:tr>
        <w:trPr>
          <w:trHeight w:val="1331" w:hRule="atLeast"/>
        </w:trPr>
        <w:tc>
          <w:tcPr>
            <w:tcW w:w="962" w:type="dxa"/>
            <w:tcBorders>
              <w:left w:val="single" w:sz="12" w:space="0" w:color="000000"/>
              <w:bottom w:val="single" w:sz="12" w:space="0" w:color="000000"/>
            </w:tcBorders>
          </w:tcPr>
          <w:p>
            <w:pPr>
              <w:pStyle w:val="TableParagraph"/>
              <w:ind w:left="0" w:right="88"/>
              <w:jc w:val="right"/>
              <w:rPr>
                <w:sz w:val="20"/>
              </w:rPr>
            </w:pPr>
            <w:r>
              <w:rPr>
                <w:w w:val="95"/>
                <w:sz w:val="20"/>
              </w:rPr>
              <w:t>A.11.2.9</w:t>
            </w:r>
          </w:p>
        </w:tc>
        <w:tc>
          <w:tcPr>
            <w:tcW w:w="3595" w:type="dxa"/>
            <w:tcBorders>
              <w:bottom w:val="single" w:sz="12" w:space="0" w:color="000000"/>
            </w:tcBorders>
          </w:tcPr>
          <w:p>
            <w:pPr>
              <w:pStyle w:val="TableParagraph"/>
              <w:ind w:right="732"/>
              <w:rPr>
                <w:sz w:val="20"/>
              </w:rPr>
            </w:pPr>
            <w:r>
              <w:rPr>
                <w:sz w:val="20"/>
              </w:rPr>
              <w:t>Richtlinie für eine aufgeräumte Arbeitsumgebung und Bildschirmsperren</w:t>
            </w:r>
          </w:p>
        </w:tc>
        <w:tc>
          <w:tcPr>
            <w:tcW w:w="5333" w:type="dxa"/>
            <w:tcBorders>
              <w:bottom w:val="single" w:sz="12" w:space="0" w:color="000000"/>
              <w:right w:val="single" w:sz="12" w:space="0" w:color="000000"/>
            </w:tcBorders>
          </w:tcPr>
          <w:p>
            <w:pPr>
              <w:pStyle w:val="TableParagraph"/>
              <w:spacing w:before="54"/>
              <w:rPr>
                <w:i/>
                <w:sz w:val="20"/>
              </w:rPr>
            </w:pPr>
            <w:r>
              <w:rPr>
                <w:i/>
                <w:sz w:val="20"/>
              </w:rPr>
              <w:t>Maßnahme</w:t>
            </w:r>
          </w:p>
          <w:p>
            <w:pPr>
              <w:pStyle w:val="TableParagraph"/>
              <w:spacing w:before="63"/>
              <w:ind w:right="77"/>
              <w:jc w:val="both"/>
              <w:rPr>
                <w:sz w:val="20"/>
              </w:rPr>
            </w:pPr>
            <w:r>
              <w:rPr>
                <w:sz w:val="20"/>
              </w:rPr>
              <w:t>Richtlinien für eine aufgeräumte Arbeitsumgebung hinsichtlich Unterlagen und Wechseldatenträgern und für Bildschirmsperren für informationsverarbeitende Einrichtungen werden angewendet.</w:t>
            </w:r>
          </w:p>
        </w:tc>
      </w:tr>
    </w:tbl>
    <w:p>
      <w:pPr>
        <w:pStyle w:val="BodyText"/>
      </w:pPr>
    </w:p>
    <w:p>
      <w:pPr>
        <w:pStyle w:val="BodyText"/>
      </w:pPr>
    </w:p>
    <w:p>
      <w:pPr>
        <w:pStyle w:val="BodyText"/>
      </w:pPr>
    </w:p>
    <w:p>
      <w:pPr>
        <w:pStyle w:val="BodyText"/>
        <w:spacing w:before="1"/>
        <w:rPr>
          <w:sz w:val="21"/>
        </w:rPr>
      </w:pPr>
      <w:r>
        <w:rPr/>
        <w:pict>
          <v:shape style="position:absolute;margin-left:36.840pt;margin-top:14.34243pt;width:144pt;height:.1pt;mso-position-horizontal-relative:page;mso-position-vertical-relative:paragraph;z-index:-251634688;mso-wrap-distance-left:0;mso-wrap-distance-right:0" coordorigin="737,287" coordsize="2880,0" path="m737,287l3617,287e" filled="false" stroked="true" strokeweight=".481pt" strokecolor="#000000">
            <v:path arrowok="t"/>
            <v:stroke dashstyle="solid"/>
            <w10:wrap type="topAndBottom"/>
          </v:shape>
        </w:pict>
      </w:r>
    </w:p>
    <w:p>
      <w:pPr>
        <w:pStyle w:val="BodyText"/>
        <w:spacing w:before="4"/>
        <w:rPr>
          <w:sz w:val="17"/>
        </w:rPr>
      </w:pPr>
    </w:p>
    <w:p>
      <w:pPr>
        <w:spacing w:before="96"/>
        <w:ind w:left="476" w:right="0" w:firstLine="0"/>
        <w:jc w:val="left"/>
        <w:rPr>
          <w:sz w:val="18"/>
        </w:rPr>
      </w:pPr>
      <w:r>
        <w:rPr/>
        <w:pict>
          <v:shape style="position:absolute;margin-left:9.663086pt;margin-top:-8.545554pt;width:9.85pt;height:83.7pt;mso-position-horizontal-relative:page;mso-position-vertical-relative:paragraph;z-index:-254694400"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bookmarkStart w:name="_bookmark40" w:id="128"/>
      <w:bookmarkEnd w:id="128"/>
      <w:r>
        <w:rPr/>
      </w:r>
      <w:r>
        <w:rPr>
          <w:position w:val="6"/>
          <w:sz w:val="16"/>
        </w:rPr>
        <w:t>N3) </w:t>
      </w:r>
      <w:r>
        <w:rPr>
          <w:sz w:val="18"/>
        </w:rPr>
        <w:t>Unter Versorgungseinrichtungen werden auch Entsorgungseinrichtungen verstanden.</w:t>
      </w:r>
    </w:p>
    <w:p>
      <w:pPr>
        <w:spacing w:after="0"/>
        <w:jc w:val="left"/>
        <w:rPr>
          <w:sz w:val="18"/>
        </w:rPr>
        <w:sectPr>
          <w:pgSz w:w="11910" w:h="16840"/>
          <w:pgMar w:header="710" w:footer="120" w:top="1540" w:bottom="320" w:left="260" w:right="540"/>
        </w:sectPr>
      </w:pPr>
    </w:p>
    <w:p>
      <w:pPr>
        <w:pStyle w:val="BodyText"/>
        <w:spacing w:before="8"/>
        <w:rPr>
          <w:sz w:val="8"/>
        </w:rPr>
      </w:pPr>
      <w:r>
        <w:rPr/>
        <w:pict>
          <v:shape style="position:absolute;margin-left:9.663086pt;margin-top:739.23053pt;width:9.85pt;height:83.7pt;mso-position-horizontal-relative:page;mso-position-vertical-relative:page;z-index:251683840"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p>
    <w:tbl>
      <w:tblPr>
        <w:tblW w:w="0" w:type="auto"/>
        <w:jc w:val="left"/>
        <w:tblInd w:w="11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62"/>
        <w:gridCol w:w="3595"/>
        <w:gridCol w:w="5333"/>
      </w:tblGrid>
      <w:tr>
        <w:trPr>
          <w:trHeight w:val="349" w:hRule="atLeast"/>
        </w:trPr>
        <w:tc>
          <w:tcPr>
            <w:tcW w:w="9890" w:type="dxa"/>
            <w:gridSpan w:val="3"/>
            <w:tcBorders>
              <w:bottom w:val="single" w:sz="6" w:space="0" w:color="000000"/>
            </w:tcBorders>
          </w:tcPr>
          <w:p>
            <w:pPr>
              <w:pStyle w:val="TableParagraph"/>
              <w:tabs>
                <w:tab w:pos="908" w:val="left" w:leader="none"/>
              </w:tabs>
              <w:spacing w:before="54"/>
              <w:ind w:left="109"/>
              <w:rPr>
                <w:b/>
                <w:sz w:val="20"/>
              </w:rPr>
            </w:pPr>
            <w:r>
              <w:rPr>
                <w:b/>
                <w:sz w:val="20"/>
              </w:rPr>
              <w:t>A.12</w:t>
              <w:tab/>
              <w:t>Betriebssicherheit</w:t>
            </w:r>
          </w:p>
        </w:tc>
      </w:tr>
      <w:tr>
        <w:trPr>
          <w:trHeight w:val="870" w:hRule="atLeast"/>
        </w:trPr>
        <w:tc>
          <w:tcPr>
            <w:tcW w:w="9890" w:type="dxa"/>
            <w:gridSpan w:val="3"/>
            <w:tcBorders>
              <w:top w:val="single" w:sz="6" w:space="0" w:color="000000"/>
              <w:bottom w:val="single" w:sz="4" w:space="0" w:color="000000"/>
            </w:tcBorders>
          </w:tcPr>
          <w:p>
            <w:pPr>
              <w:pStyle w:val="TableParagraph"/>
              <w:tabs>
                <w:tab w:pos="908" w:val="left" w:leader="none"/>
              </w:tabs>
              <w:ind w:left="109"/>
              <w:rPr>
                <w:b/>
                <w:sz w:val="20"/>
              </w:rPr>
            </w:pPr>
            <w:r>
              <w:rPr>
                <w:b/>
                <w:sz w:val="20"/>
              </w:rPr>
              <w:t>A.12.1</w:t>
              <w:tab/>
              <w:t>Betriebsabläufe und</w:t>
            </w:r>
            <w:r>
              <w:rPr>
                <w:b/>
                <w:spacing w:val="-1"/>
                <w:sz w:val="20"/>
              </w:rPr>
              <w:t> </w:t>
            </w:r>
            <w:r>
              <w:rPr>
                <w:b/>
                <w:sz w:val="20"/>
              </w:rPr>
              <w:t>-verantwortlichkeiten</w:t>
            </w:r>
          </w:p>
          <w:p>
            <w:pPr>
              <w:pStyle w:val="TableParagraph"/>
              <w:spacing w:before="60"/>
              <w:ind w:left="109"/>
              <w:rPr>
                <w:sz w:val="20"/>
              </w:rPr>
            </w:pPr>
            <w:r>
              <w:rPr>
                <w:sz w:val="20"/>
              </w:rPr>
              <w:t>Ziel: Der ordnungsgemäße und sichere Betrieb von informationsverarbeitenden Einrichtungen ist sichergestellt.</w:t>
            </w:r>
          </w:p>
        </w:tc>
      </w:tr>
      <w:tr>
        <w:trPr>
          <w:trHeight w:val="870" w:hRule="atLeast"/>
        </w:trPr>
        <w:tc>
          <w:tcPr>
            <w:tcW w:w="962" w:type="dxa"/>
            <w:tcBorders>
              <w:top w:val="single" w:sz="4" w:space="0" w:color="000000"/>
              <w:bottom w:val="single" w:sz="6" w:space="0" w:color="000000"/>
              <w:right w:val="single" w:sz="6" w:space="0" w:color="000000"/>
            </w:tcBorders>
          </w:tcPr>
          <w:p>
            <w:pPr>
              <w:pStyle w:val="TableParagraph"/>
              <w:ind w:left="109"/>
              <w:rPr>
                <w:sz w:val="20"/>
              </w:rPr>
            </w:pPr>
            <w:r>
              <w:rPr>
                <w:sz w:val="20"/>
              </w:rPr>
              <w:t>A.12.1.1</w:t>
            </w:r>
          </w:p>
        </w:tc>
        <w:tc>
          <w:tcPr>
            <w:tcW w:w="3595" w:type="dxa"/>
            <w:tcBorders>
              <w:top w:val="single" w:sz="4" w:space="0" w:color="000000"/>
              <w:left w:val="single" w:sz="6" w:space="0" w:color="000000"/>
              <w:bottom w:val="single" w:sz="6" w:space="0" w:color="000000"/>
              <w:right w:val="single" w:sz="6" w:space="0" w:color="000000"/>
            </w:tcBorders>
          </w:tcPr>
          <w:p>
            <w:pPr>
              <w:pStyle w:val="TableParagraph"/>
              <w:ind w:left="117"/>
              <w:rPr>
                <w:sz w:val="20"/>
              </w:rPr>
            </w:pPr>
            <w:r>
              <w:rPr>
                <w:sz w:val="20"/>
              </w:rPr>
              <w:t>Dokumentierte Bedienabläufe</w:t>
            </w:r>
          </w:p>
        </w:tc>
        <w:tc>
          <w:tcPr>
            <w:tcW w:w="5333" w:type="dxa"/>
            <w:tcBorders>
              <w:top w:val="single" w:sz="4" w:space="0" w:color="000000"/>
              <w:left w:val="single" w:sz="6" w:space="0" w:color="000000"/>
              <w:bottom w:val="single" w:sz="6" w:space="0" w:color="000000"/>
            </w:tcBorders>
          </w:tcPr>
          <w:p>
            <w:pPr>
              <w:pStyle w:val="TableParagraph"/>
              <w:spacing w:before="54"/>
              <w:rPr>
                <w:i/>
                <w:sz w:val="20"/>
              </w:rPr>
            </w:pPr>
            <w:r>
              <w:rPr>
                <w:i/>
                <w:sz w:val="20"/>
              </w:rPr>
              <w:t>Maßnahme</w:t>
            </w:r>
          </w:p>
          <w:p>
            <w:pPr>
              <w:pStyle w:val="TableParagraph"/>
              <w:tabs>
                <w:tab w:pos="667" w:val="left" w:leader="none"/>
                <w:tab w:pos="2195" w:val="left" w:leader="none"/>
                <w:tab w:pos="2817" w:val="left" w:leader="none"/>
                <w:tab w:pos="4223" w:val="left" w:leader="none"/>
                <w:tab w:pos="4808" w:val="left" w:leader="none"/>
              </w:tabs>
              <w:spacing w:before="63"/>
              <w:ind w:right="77"/>
              <w:rPr>
                <w:sz w:val="20"/>
              </w:rPr>
            </w:pPr>
            <w:r>
              <w:rPr>
                <w:sz w:val="20"/>
              </w:rPr>
              <w:t>Die</w:t>
              <w:tab/>
              <w:t>Bedienabläufe</w:t>
              <w:tab/>
              <w:t>sind</w:t>
              <w:tab/>
              <w:t>dokumentiert</w:t>
              <w:tab/>
              <w:t>und</w:t>
              <w:tab/>
            </w:r>
            <w:r>
              <w:rPr>
                <w:spacing w:val="-4"/>
                <w:sz w:val="20"/>
              </w:rPr>
              <w:t>allen </w:t>
            </w:r>
            <w:r>
              <w:rPr>
                <w:sz w:val="20"/>
              </w:rPr>
              <w:t>Benutzern, die sie benötigen, zugänglich.</w:t>
            </w:r>
          </w:p>
        </w:tc>
      </w:tr>
      <w:tr>
        <w:trPr>
          <w:trHeight w:val="1098" w:hRule="atLeast"/>
        </w:trPr>
        <w:tc>
          <w:tcPr>
            <w:tcW w:w="962" w:type="dxa"/>
            <w:tcBorders>
              <w:top w:val="single" w:sz="6" w:space="0" w:color="000000"/>
              <w:bottom w:val="single" w:sz="6" w:space="0" w:color="000000"/>
              <w:right w:val="single" w:sz="6" w:space="0" w:color="000000"/>
            </w:tcBorders>
          </w:tcPr>
          <w:p>
            <w:pPr>
              <w:pStyle w:val="TableParagraph"/>
              <w:ind w:left="109"/>
              <w:rPr>
                <w:sz w:val="20"/>
              </w:rPr>
            </w:pPr>
            <w:r>
              <w:rPr>
                <w:sz w:val="20"/>
              </w:rPr>
              <w:t>A.12.1.2</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ind w:left="117"/>
              <w:rPr>
                <w:sz w:val="20"/>
              </w:rPr>
            </w:pPr>
            <w:r>
              <w:rPr>
                <w:sz w:val="20"/>
              </w:rPr>
              <w:t>Änderungssteuerung</w:t>
            </w:r>
          </w:p>
        </w:tc>
        <w:tc>
          <w:tcPr>
            <w:tcW w:w="5333" w:type="dxa"/>
            <w:tcBorders>
              <w:top w:val="single" w:sz="6" w:space="0" w:color="000000"/>
              <w:left w:val="single" w:sz="6" w:space="0" w:color="000000"/>
              <w:bottom w:val="single" w:sz="6" w:space="0" w:color="000000"/>
            </w:tcBorders>
          </w:tcPr>
          <w:p>
            <w:pPr>
              <w:pStyle w:val="TableParagraph"/>
              <w:spacing w:before="54"/>
              <w:rPr>
                <w:i/>
                <w:sz w:val="20"/>
              </w:rPr>
            </w:pPr>
            <w:r>
              <w:rPr>
                <w:i/>
                <w:sz w:val="20"/>
              </w:rPr>
              <w:t>Maßnahme</w:t>
            </w:r>
          </w:p>
          <w:p>
            <w:pPr>
              <w:pStyle w:val="TableParagraph"/>
              <w:spacing w:before="63"/>
              <w:ind w:right="77"/>
              <w:jc w:val="both"/>
              <w:rPr>
                <w:sz w:val="20"/>
              </w:rPr>
            </w:pPr>
            <w:r>
              <w:rPr>
                <w:sz w:val="20"/>
              </w:rPr>
              <w:t>Änderungen der Organisation, der Geschäftsprozesse, an den informationsverarbeitenden Einrichtungen und an den Systemen werden</w:t>
            </w:r>
            <w:r>
              <w:rPr>
                <w:spacing w:val="-1"/>
                <w:sz w:val="20"/>
              </w:rPr>
              <w:t> </w:t>
            </w:r>
            <w:r>
              <w:rPr>
                <w:sz w:val="20"/>
              </w:rPr>
              <w:t>gesteuert.</w:t>
            </w:r>
          </w:p>
        </w:tc>
      </w:tr>
      <w:tr>
        <w:trPr>
          <w:trHeight w:val="1331" w:hRule="atLeast"/>
        </w:trPr>
        <w:tc>
          <w:tcPr>
            <w:tcW w:w="962" w:type="dxa"/>
            <w:tcBorders>
              <w:top w:val="single" w:sz="6" w:space="0" w:color="000000"/>
              <w:bottom w:val="single" w:sz="6" w:space="0" w:color="000000"/>
              <w:right w:val="single" w:sz="6" w:space="0" w:color="000000"/>
            </w:tcBorders>
          </w:tcPr>
          <w:p>
            <w:pPr>
              <w:pStyle w:val="TableParagraph"/>
              <w:spacing w:before="59"/>
              <w:ind w:left="109"/>
              <w:rPr>
                <w:sz w:val="20"/>
              </w:rPr>
            </w:pPr>
            <w:r>
              <w:rPr>
                <w:sz w:val="20"/>
              </w:rPr>
              <w:t>A.12.1.3</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spacing w:before="59"/>
              <w:ind w:left="117"/>
              <w:rPr>
                <w:sz w:val="20"/>
              </w:rPr>
            </w:pPr>
            <w:r>
              <w:rPr>
                <w:sz w:val="20"/>
              </w:rPr>
              <w:t>Kapazitätssteuerung</w:t>
            </w:r>
          </w:p>
        </w:tc>
        <w:tc>
          <w:tcPr>
            <w:tcW w:w="5333" w:type="dxa"/>
            <w:tcBorders>
              <w:top w:val="single" w:sz="6" w:space="0" w:color="000000"/>
              <w:left w:val="single" w:sz="6" w:space="0" w:color="000000"/>
              <w:bottom w:val="single" w:sz="6" w:space="0" w:color="000000"/>
            </w:tcBorders>
          </w:tcPr>
          <w:p>
            <w:pPr>
              <w:pStyle w:val="TableParagraph"/>
              <w:rPr>
                <w:i/>
                <w:sz w:val="20"/>
              </w:rPr>
            </w:pPr>
            <w:r>
              <w:rPr>
                <w:i/>
                <w:sz w:val="20"/>
              </w:rPr>
              <w:t>Maßnahme</w:t>
            </w:r>
          </w:p>
          <w:p>
            <w:pPr>
              <w:pStyle w:val="TableParagraph"/>
              <w:spacing w:before="60"/>
              <w:ind w:right="77"/>
              <w:jc w:val="both"/>
              <w:rPr>
                <w:sz w:val="20"/>
              </w:rPr>
            </w:pPr>
            <w:r>
              <w:rPr>
                <w:sz w:val="20"/>
              </w:rPr>
              <w:t>Die Ressourcennutzung/Benutzung von Ressourcen wird überwacht und abgestimmt, und es werden Prognosen zu zukünftigen Kapazitätsanforderungen erstellt, um die erforderliche Systemleistung sicherzustellen.</w:t>
            </w:r>
          </w:p>
        </w:tc>
      </w:tr>
      <w:tr>
        <w:trPr>
          <w:trHeight w:val="1329" w:hRule="atLeast"/>
        </w:trPr>
        <w:tc>
          <w:tcPr>
            <w:tcW w:w="962" w:type="dxa"/>
            <w:tcBorders>
              <w:top w:val="single" w:sz="6" w:space="0" w:color="000000"/>
              <w:bottom w:val="single" w:sz="6" w:space="0" w:color="000000"/>
              <w:right w:val="single" w:sz="6" w:space="0" w:color="000000"/>
            </w:tcBorders>
          </w:tcPr>
          <w:p>
            <w:pPr>
              <w:pStyle w:val="TableParagraph"/>
              <w:ind w:left="109"/>
              <w:rPr>
                <w:sz w:val="20"/>
              </w:rPr>
            </w:pPr>
            <w:r>
              <w:rPr>
                <w:sz w:val="20"/>
              </w:rPr>
              <w:t>A.12.1.4</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ind w:left="117" w:right="352"/>
              <w:rPr>
                <w:sz w:val="20"/>
              </w:rPr>
            </w:pPr>
            <w:r>
              <w:rPr>
                <w:sz w:val="20"/>
              </w:rPr>
              <w:t>Trennung von Entwicklungs-, Test- und Betriebsumgebungen</w:t>
            </w:r>
          </w:p>
        </w:tc>
        <w:tc>
          <w:tcPr>
            <w:tcW w:w="5333" w:type="dxa"/>
            <w:tcBorders>
              <w:top w:val="single" w:sz="6" w:space="0" w:color="000000"/>
              <w:left w:val="single" w:sz="6" w:space="0" w:color="000000"/>
              <w:bottom w:val="single" w:sz="6" w:space="0" w:color="000000"/>
            </w:tcBorders>
          </w:tcPr>
          <w:p>
            <w:pPr>
              <w:pStyle w:val="TableParagraph"/>
              <w:spacing w:before="54"/>
              <w:rPr>
                <w:i/>
                <w:sz w:val="20"/>
              </w:rPr>
            </w:pPr>
            <w:r>
              <w:rPr>
                <w:i/>
                <w:sz w:val="20"/>
              </w:rPr>
              <w:t>Maßnahme</w:t>
            </w:r>
          </w:p>
          <w:p>
            <w:pPr>
              <w:pStyle w:val="TableParagraph"/>
              <w:spacing w:before="63"/>
              <w:ind w:right="74"/>
              <w:jc w:val="both"/>
              <w:rPr>
                <w:sz w:val="20"/>
              </w:rPr>
            </w:pPr>
            <w:r>
              <w:rPr>
                <w:sz w:val="20"/>
              </w:rPr>
              <w:t>Entwicklungs-, Test- und Betriebsumgebungen sind voneinander getrennt, um das Risiko unbefugter Zugriffe auf oder Änderungen an der Betriebsumgebung zu verringern.</w:t>
            </w:r>
          </w:p>
        </w:tc>
      </w:tr>
      <w:tr>
        <w:trPr>
          <w:trHeight w:val="640" w:hRule="atLeast"/>
        </w:trPr>
        <w:tc>
          <w:tcPr>
            <w:tcW w:w="9890" w:type="dxa"/>
            <w:gridSpan w:val="3"/>
            <w:tcBorders>
              <w:top w:val="single" w:sz="6" w:space="0" w:color="000000"/>
              <w:bottom w:val="single" w:sz="6" w:space="0" w:color="000000"/>
            </w:tcBorders>
          </w:tcPr>
          <w:p>
            <w:pPr>
              <w:pStyle w:val="TableParagraph"/>
              <w:tabs>
                <w:tab w:pos="908" w:val="left" w:leader="none"/>
              </w:tabs>
              <w:spacing w:before="54"/>
              <w:ind w:left="109"/>
              <w:rPr>
                <w:b/>
                <w:sz w:val="20"/>
              </w:rPr>
            </w:pPr>
            <w:r>
              <w:rPr>
                <w:b/>
                <w:sz w:val="20"/>
              </w:rPr>
              <w:t>A.12.2</w:t>
              <w:tab/>
              <w:t>Schutz vor</w:t>
            </w:r>
            <w:r>
              <w:rPr>
                <w:b/>
                <w:spacing w:val="-2"/>
                <w:sz w:val="20"/>
              </w:rPr>
              <w:t> </w:t>
            </w:r>
            <w:r>
              <w:rPr>
                <w:b/>
                <w:sz w:val="20"/>
              </w:rPr>
              <w:t>Schadsoftware</w:t>
            </w:r>
          </w:p>
          <w:p>
            <w:pPr>
              <w:pStyle w:val="TableParagraph"/>
              <w:spacing w:before="63"/>
              <w:ind w:left="109"/>
              <w:rPr>
                <w:sz w:val="20"/>
              </w:rPr>
            </w:pPr>
            <w:r>
              <w:rPr>
                <w:sz w:val="20"/>
              </w:rPr>
              <w:t>Ziel: Information und informationsverarbeitende Einrichtungen sind vor Schadsoftware geschützt.</w:t>
            </w:r>
          </w:p>
        </w:tc>
      </w:tr>
      <w:tr>
        <w:trPr>
          <w:trHeight w:val="1328" w:hRule="atLeast"/>
        </w:trPr>
        <w:tc>
          <w:tcPr>
            <w:tcW w:w="962" w:type="dxa"/>
            <w:tcBorders>
              <w:top w:val="single" w:sz="6" w:space="0" w:color="000000"/>
              <w:bottom w:val="single" w:sz="6" w:space="0" w:color="000000"/>
              <w:right w:val="single" w:sz="6" w:space="0" w:color="000000"/>
            </w:tcBorders>
          </w:tcPr>
          <w:p>
            <w:pPr>
              <w:pStyle w:val="TableParagraph"/>
              <w:ind w:left="109"/>
              <w:rPr>
                <w:sz w:val="20"/>
              </w:rPr>
            </w:pPr>
            <w:r>
              <w:rPr>
                <w:sz w:val="20"/>
              </w:rPr>
              <w:t>A.12.2.1</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ind w:left="117"/>
              <w:rPr>
                <w:sz w:val="20"/>
              </w:rPr>
            </w:pPr>
            <w:r>
              <w:rPr>
                <w:sz w:val="20"/>
              </w:rPr>
              <w:t>Maßnahmen gegen Schadsoftware</w:t>
            </w:r>
          </w:p>
        </w:tc>
        <w:tc>
          <w:tcPr>
            <w:tcW w:w="5333" w:type="dxa"/>
            <w:tcBorders>
              <w:top w:val="single" w:sz="6" w:space="0" w:color="000000"/>
              <w:left w:val="single" w:sz="6" w:space="0" w:color="000000"/>
              <w:bottom w:val="single" w:sz="6" w:space="0" w:color="000000"/>
            </w:tcBorders>
          </w:tcPr>
          <w:p>
            <w:pPr>
              <w:pStyle w:val="TableParagraph"/>
              <w:spacing w:before="54"/>
              <w:rPr>
                <w:i/>
                <w:sz w:val="20"/>
              </w:rPr>
            </w:pPr>
            <w:r>
              <w:rPr>
                <w:i/>
                <w:sz w:val="20"/>
              </w:rPr>
              <w:t>Maßnahme</w:t>
            </w:r>
          </w:p>
          <w:p>
            <w:pPr>
              <w:pStyle w:val="TableParagraph"/>
              <w:tabs>
                <w:tab w:pos="2474" w:val="left" w:leader="none"/>
                <w:tab w:pos="4900" w:val="left" w:leader="none"/>
              </w:tabs>
              <w:spacing w:before="63"/>
              <w:ind w:right="76"/>
              <w:jc w:val="both"/>
              <w:rPr>
                <w:sz w:val="20"/>
              </w:rPr>
            </w:pPr>
            <w:r>
              <w:rPr>
                <w:sz w:val="20"/>
              </w:rPr>
              <w:t>Erkennungs-,</w:t>
              <w:tab/>
              <w:t>Vorbeugungs-</w:t>
              <w:tab/>
            </w:r>
            <w:r>
              <w:rPr>
                <w:spacing w:val="-6"/>
                <w:sz w:val="20"/>
              </w:rPr>
              <w:t>und </w:t>
            </w:r>
            <w:r>
              <w:rPr>
                <w:sz w:val="20"/>
              </w:rPr>
              <w:t>Wiederherstellungsmaßnahmen zum Schutz vor Schadsoftware in Verbindung mit einer angemessenen Sensibilisierung der Benutzer sind</w:t>
            </w:r>
            <w:r>
              <w:rPr>
                <w:spacing w:val="-3"/>
                <w:sz w:val="20"/>
              </w:rPr>
              <w:t> </w:t>
            </w:r>
            <w:r>
              <w:rPr>
                <w:sz w:val="20"/>
              </w:rPr>
              <w:t>umgesetzt.</w:t>
            </w:r>
          </w:p>
        </w:tc>
      </w:tr>
      <w:tr>
        <w:trPr>
          <w:trHeight w:val="640" w:hRule="atLeast"/>
        </w:trPr>
        <w:tc>
          <w:tcPr>
            <w:tcW w:w="9890" w:type="dxa"/>
            <w:gridSpan w:val="3"/>
            <w:tcBorders>
              <w:top w:val="single" w:sz="6" w:space="0" w:color="000000"/>
              <w:bottom w:val="single" w:sz="6" w:space="0" w:color="000000"/>
            </w:tcBorders>
          </w:tcPr>
          <w:p>
            <w:pPr>
              <w:pStyle w:val="TableParagraph"/>
              <w:tabs>
                <w:tab w:pos="908" w:val="left" w:leader="none"/>
              </w:tabs>
              <w:ind w:left="109"/>
              <w:rPr>
                <w:b/>
                <w:sz w:val="20"/>
              </w:rPr>
            </w:pPr>
            <w:r>
              <w:rPr>
                <w:b/>
                <w:sz w:val="20"/>
              </w:rPr>
              <w:t>A.12.3</w:t>
              <w:tab/>
              <w:t>Datensicherung</w:t>
            </w:r>
          </w:p>
          <w:p>
            <w:pPr>
              <w:pStyle w:val="TableParagraph"/>
              <w:spacing w:before="62"/>
              <w:ind w:left="109"/>
              <w:rPr>
                <w:sz w:val="20"/>
              </w:rPr>
            </w:pPr>
            <w:r>
              <w:rPr>
                <w:sz w:val="20"/>
              </w:rPr>
              <w:t>Ziel: Daten sind vor Verlust geschützt.</w:t>
            </w:r>
          </w:p>
        </w:tc>
      </w:tr>
      <w:tr>
        <w:trPr>
          <w:trHeight w:val="1331" w:hRule="atLeast"/>
        </w:trPr>
        <w:tc>
          <w:tcPr>
            <w:tcW w:w="962" w:type="dxa"/>
            <w:tcBorders>
              <w:top w:val="single" w:sz="6" w:space="0" w:color="000000"/>
              <w:bottom w:val="single" w:sz="6" w:space="0" w:color="000000"/>
              <w:right w:val="single" w:sz="6" w:space="0" w:color="000000"/>
            </w:tcBorders>
          </w:tcPr>
          <w:p>
            <w:pPr>
              <w:pStyle w:val="TableParagraph"/>
              <w:spacing w:before="59"/>
              <w:ind w:left="109"/>
              <w:rPr>
                <w:sz w:val="20"/>
              </w:rPr>
            </w:pPr>
            <w:r>
              <w:rPr>
                <w:sz w:val="20"/>
              </w:rPr>
              <w:t>A.12.3.1</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spacing w:before="59"/>
              <w:ind w:left="117"/>
              <w:rPr>
                <w:sz w:val="20"/>
              </w:rPr>
            </w:pPr>
            <w:r>
              <w:rPr>
                <w:sz w:val="20"/>
              </w:rPr>
              <w:t>Sicherung von Information</w:t>
            </w:r>
          </w:p>
        </w:tc>
        <w:tc>
          <w:tcPr>
            <w:tcW w:w="5333" w:type="dxa"/>
            <w:tcBorders>
              <w:top w:val="single" w:sz="6" w:space="0" w:color="000000"/>
              <w:left w:val="single" w:sz="6" w:space="0" w:color="000000"/>
              <w:bottom w:val="single" w:sz="6" w:space="0" w:color="000000"/>
            </w:tcBorders>
          </w:tcPr>
          <w:p>
            <w:pPr>
              <w:pStyle w:val="TableParagraph"/>
              <w:rPr>
                <w:i/>
                <w:sz w:val="20"/>
              </w:rPr>
            </w:pPr>
            <w:r>
              <w:rPr>
                <w:i/>
                <w:sz w:val="20"/>
              </w:rPr>
              <w:t>Maßnahme</w:t>
            </w:r>
          </w:p>
          <w:p>
            <w:pPr>
              <w:pStyle w:val="TableParagraph"/>
              <w:spacing w:before="60"/>
              <w:ind w:right="79"/>
              <w:jc w:val="both"/>
              <w:rPr>
                <w:sz w:val="20"/>
              </w:rPr>
            </w:pPr>
            <w:r>
              <w:rPr>
                <w:sz w:val="20"/>
              </w:rPr>
              <w:t>Sicherheitskopien von Information, Software und Systemabbildern werden entsprechend einer vereinbarten Sicherungsrichtlinie angefertigt und regelmäßig</w:t>
            </w:r>
            <w:r>
              <w:rPr>
                <w:spacing w:val="-2"/>
                <w:sz w:val="20"/>
              </w:rPr>
              <w:t> </w:t>
            </w:r>
            <w:r>
              <w:rPr>
                <w:sz w:val="20"/>
              </w:rPr>
              <w:t>getestet.</w:t>
            </w:r>
          </w:p>
        </w:tc>
      </w:tr>
      <w:tr>
        <w:trPr>
          <w:trHeight w:val="640" w:hRule="atLeast"/>
        </w:trPr>
        <w:tc>
          <w:tcPr>
            <w:tcW w:w="9890" w:type="dxa"/>
            <w:gridSpan w:val="3"/>
            <w:tcBorders>
              <w:top w:val="single" w:sz="6" w:space="0" w:color="000000"/>
              <w:bottom w:val="single" w:sz="6" w:space="0" w:color="000000"/>
            </w:tcBorders>
          </w:tcPr>
          <w:p>
            <w:pPr>
              <w:pStyle w:val="TableParagraph"/>
              <w:tabs>
                <w:tab w:pos="908" w:val="left" w:leader="none"/>
              </w:tabs>
              <w:spacing w:before="54"/>
              <w:ind w:left="109"/>
              <w:rPr>
                <w:b/>
                <w:sz w:val="20"/>
              </w:rPr>
            </w:pPr>
            <w:r>
              <w:rPr>
                <w:b/>
                <w:sz w:val="20"/>
              </w:rPr>
              <w:t>A.12.4</w:t>
              <w:tab/>
              <w:t>Protokollierung und</w:t>
            </w:r>
            <w:r>
              <w:rPr>
                <w:b/>
                <w:spacing w:val="-1"/>
                <w:sz w:val="20"/>
              </w:rPr>
              <w:t> </w:t>
            </w:r>
            <w:r>
              <w:rPr>
                <w:b/>
                <w:sz w:val="20"/>
              </w:rPr>
              <w:t>Überwachung</w:t>
            </w:r>
          </w:p>
          <w:p>
            <w:pPr>
              <w:pStyle w:val="TableParagraph"/>
              <w:spacing w:before="63"/>
              <w:ind w:left="109"/>
              <w:rPr>
                <w:sz w:val="20"/>
              </w:rPr>
            </w:pPr>
            <w:r>
              <w:rPr>
                <w:sz w:val="20"/>
              </w:rPr>
              <w:t>Ziel: Ereignisse sind aufgezeichnet und Nachweise sind erzeugt.</w:t>
            </w:r>
          </w:p>
        </w:tc>
      </w:tr>
      <w:tr>
        <w:trPr>
          <w:trHeight w:val="1328" w:hRule="atLeast"/>
        </w:trPr>
        <w:tc>
          <w:tcPr>
            <w:tcW w:w="962" w:type="dxa"/>
            <w:tcBorders>
              <w:top w:val="single" w:sz="6" w:space="0" w:color="000000"/>
              <w:bottom w:val="single" w:sz="6" w:space="0" w:color="000000"/>
              <w:right w:val="single" w:sz="6" w:space="0" w:color="000000"/>
            </w:tcBorders>
          </w:tcPr>
          <w:p>
            <w:pPr>
              <w:pStyle w:val="TableParagraph"/>
              <w:ind w:left="109"/>
              <w:rPr>
                <w:sz w:val="20"/>
              </w:rPr>
            </w:pPr>
            <w:r>
              <w:rPr>
                <w:sz w:val="20"/>
              </w:rPr>
              <w:t>A.12.4.1</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ind w:left="117"/>
              <w:rPr>
                <w:sz w:val="20"/>
              </w:rPr>
            </w:pPr>
            <w:r>
              <w:rPr>
                <w:sz w:val="20"/>
              </w:rPr>
              <w:t>Ereignisprotokollierung</w:t>
            </w:r>
          </w:p>
        </w:tc>
        <w:tc>
          <w:tcPr>
            <w:tcW w:w="5333" w:type="dxa"/>
            <w:tcBorders>
              <w:top w:val="single" w:sz="6" w:space="0" w:color="000000"/>
              <w:left w:val="single" w:sz="6" w:space="0" w:color="000000"/>
              <w:bottom w:val="single" w:sz="6" w:space="0" w:color="000000"/>
            </w:tcBorders>
          </w:tcPr>
          <w:p>
            <w:pPr>
              <w:pStyle w:val="TableParagraph"/>
              <w:spacing w:before="54"/>
              <w:rPr>
                <w:i/>
                <w:sz w:val="20"/>
              </w:rPr>
            </w:pPr>
            <w:r>
              <w:rPr>
                <w:i/>
                <w:sz w:val="20"/>
              </w:rPr>
              <w:t>Maßnahme</w:t>
            </w:r>
          </w:p>
          <w:p>
            <w:pPr>
              <w:pStyle w:val="TableParagraph"/>
              <w:spacing w:before="63"/>
              <w:ind w:right="73"/>
              <w:jc w:val="both"/>
              <w:rPr>
                <w:sz w:val="20"/>
              </w:rPr>
            </w:pPr>
            <w:r>
              <w:rPr>
                <w:sz w:val="20"/>
              </w:rPr>
              <w:t>Ereignisprotokolle, die Benutzertätigkeiten, Ausnahmen, Störungen und Informationssicherheitsvorfälle aufzeichnen, werden erzeugt, aufbewahrt und regelmäßig überprüft.</w:t>
            </w:r>
          </w:p>
        </w:tc>
      </w:tr>
      <w:tr>
        <w:trPr>
          <w:trHeight w:val="870" w:hRule="atLeast"/>
        </w:trPr>
        <w:tc>
          <w:tcPr>
            <w:tcW w:w="962" w:type="dxa"/>
            <w:tcBorders>
              <w:top w:val="single" w:sz="6" w:space="0" w:color="000000"/>
              <w:right w:val="single" w:sz="6" w:space="0" w:color="000000"/>
            </w:tcBorders>
          </w:tcPr>
          <w:p>
            <w:pPr>
              <w:pStyle w:val="TableParagraph"/>
              <w:ind w:left="109"/>
              <w:rPr>
                <w:sz w:val="20"/>
              </w:rPr>
            </w:pPr>
            <w:r>
              <w:rPr>
                <w:sz w:val="20"/>
              </w:rPr>
              <w:t>A.12.4.2</w:t>
            </w:r>
          </w:p>
        </w:tc>
        <w:tc>
          <w:tcPr>
            <w:tcW w:w="3595" w:type="dxa"/>
            <w:tcBorders>
              <w:top w:val="single" w:sz="6" w:space="0" w:color="000000"/>
              <w:left w:val="single" w:sz="6" w:space="0" w:color="000000"/>
              <w:right w:val="single" w:sz="6" w:space="0" w:color="000000"/>
            </w:tcBorders>
          </w:tcPr>
          <w:p>
            <w:pPr>
              <w:pStyle w:val="TableParagraph"/>
              <w:ind w:left="117"/>
              <w:rPr>
                <w:sz w:val="20"/>
              </w:rPr>
            </w:pPr>
            <w:r>
              <w:rPr>
                <w:sz w:val="20"/>
              </w:rPr>
              <w:t>Schutz der Protokollinformation</w:t>
            </w:r>
          </w:p>
        </w:tc>
        <w:tc>
          <w:tcPr>
            <w:tcW w:w="5333" w:type="dxa"/>
            <w:tcBorders>
              <w:top w:val="single" w:sz="6" w:space="0" w:color="000000"/>
              <w:left w:val="single" w:sz="6" w:space="0" w:color="000000"/>
            </w:tcBorders>
          </w:tcPr>
          <w:p>
            <w:pPr>
              <w:pStyle w:val="TableParagraph"/>
              <w:spacing w:before="54"/>
              <w:rPr>
                <w:i/>
                <w:sz w:val="20"/>
              </w:rPr>
            </w:pPr>
            <w:r>
              <w:rPr>
                <w:i/>
                <w:sz w:val="20"/>
              </w:rPr>
              <w:t>Maßnahme</w:t>
            </w:r>
          </w:p>
          <w:p>
            <w:pPr>
              <w:pStyle w:val="TableParagraph"/>
              <w:spacing w:before="63"/>
              <w:ind w:right="125"/>
              <w:rPr>
                <w:sz w:val="20"/>
              </w:rPr>
            </w:pPr>
            <w:r>
              <w:rPr>
                <w:sz w:val="20"/>
              </w:rPr>
              <w:t>Protokollierungseinrichtungen und Protokollinformation sind vor Manipulation und unbefugtem Zugriff geschützt.</w:t>
            </w:r>
          </w:p>
        </w:tc>
      </w:tr>
    </w:tbl>
    <w:p>
      <w:pPr>
        <w:spacing w:after="0"/>
        <w:rPr>
          <w:sz w:val="20"/>
        </w:rPr>
        <w:sectPr>
          <w:pgSz w:w="11910" w:h="16840"/>
          <w:pgMar w:header="710" w:footer="120" w:top="1540" w:bottom="320" w:left="260" w:right="540"/>
        </w:sectPr>
      </w:pPr>
    </w:p>
    <w:p>
      <w:pPr>
        <w:pStyle w:val="BodyText"/>
        <w:spacing w:before="8"/>
        <w:rPr>
          <w:sz w:val="8"/>
        </w:rPr>
      </w:pPr>
      <w:r>
        <w:rPr/>
        <w:pict>
          <v:shape style="position:absolute;margin-left:9.663086pt;margin-top:739.23053pt;width:9.85pt;height:83.7pt;mso-position-horizontal-relative:page;mso-position-vertical-relative:page;z-index:251684864"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p>
    <w:tbl>
      <w:tblPr>
        <w:tblW w:w="0" w:type="auto"/>
        <w:jc w:val="left"/>
        <w:tblInd w:w="4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62"/>
        <w:gridCol w:w="3595"/>
        <w:gridCol w:w="5333"/>
      </w:tblGrid>
      <w:tr>
        <w:trPr>
          <w:trHeight w:val="1331" w:hRule="atLeast"/>
        </w:trPr>
        <w:tc>
          <w:tcPr>
            <w:tcW w:w="962" w:type="dxa"/>
            <w:tcBorders>
              <w:bottom w:val="single" w:sz="6" w:space="0" w:color="000000"/>
              <w:right w:val="single" w:sz="6" w:space="0" w:color="000000"/>
            </w:tcBorders>
          </w:tcPr>
          <w:p>
            <w:pPr>
              <w:pStyle w:val="TableParagraph"/>
              <w:spacing w:before="56"/>
              <w:ind w:left="0" w:right="88"/>
              <w:jc w:val="right"/>
              <w:rPr>
                <w:sz w:val="20"/>
              </w:rPr>
            </w:pPr>
            <w:r>
              <w:rPr>
                <w:w w:val="95"/>
                <w:sz w:val="20"/>
              </w:rPr>
              <w:t>A.12.4.3</w:t>
            </w:r>
          </w:p>
        </w:tc>
        <w:tc>
          <w:tcPr>
            <w:tcW w:w="3595" w:type="dxa"/>
            <w:tcBorders>
              <w:left w:val="single" w:sz="6" w:space="0" w:color="000000"/>
              <w:bottom w:val="single" w:sz="6" w:space="0" w:color="000000"/>
              <w:right w:val="single" w:sz="6" w:space="0" w:color="000000"/>
            </w:tcBorders>
          </w:tcPr>
          <w:p>
            <w:pPr>
              <w:pStyle w:val="TableParagraph"/>
              <w:spacing w:before="56"/>
              <w:ind w:right="1588"/>
              <w:rPr>
                <w:sz w:val="20"/>
              </w:rPr>
            </w:pPr>
            <w:r>
              <w:rPr>
                <w:sz w:val="20"/>
              </w:rPr>
              <w:t>Administratoren- und Bedienerprotokolle</w:t>
            </w:r>
          </w:p>
        </w:tc>
        <w:tc>
          <w:tcPr>
            <w:tcW w:w="5333" w:type="dxa"/>
            <w:tcBorders>
              <w:left w:val="single" w:sz="6" w:space="0" w:color="000000"/>
              <w:bottom w:val="single" w:sz="6" w:space="0" w:color="000000"/>
            </w:tcBorders>
          </w:tcPr>
          <w:p>
            <w:pPr>
              <w:pStyle w:val="TableParagraph"/>
              <w:spacing w:before="54"/>
              <w:rPr>
                <w:i/>
                <w:sz w:val="20"/>
              </w:rPr>
            </w:pPr>
            <w:r>
              <w:rPr>
                <w:i/>
                <w:sz w:val="20"/>
              </w:rPr>
              <w:t>Maßnahme</w:t>
            </w:r>
          </w:p>
          <w:p>
            <w:pPr>
              <w:pStyle w:val="TableParagraph"/>
              <w:spacing w:before="63"/>
              <w:ind w:right="78"/>
              <w:jc w:val="both"/>
              <w:rPr>
                <w:sz w:val="20"/>
              </w:rPr>
            </w:pPr>
            <w:r>
              <w:rPr>
                <w:sz w:val="20"/>
              </w:rPr>
              <w:t>Tätigkeiten von Systemadministratoren und Systembedienern werden aufgezeichnet und die Protokolle sind geschützt und werden regelmäßig überprüft.</w:t>
            </w:r>
          </w:p>
        </w:tc>
      </w:tr>
      <w:tr>
        <w:trPr>
          <w:trHeight w:val="1329" w:hRule="atLeast"/>
        </w:trPr>
        <w:tc>
          <w:tcPr>
            <w:tcW w:w="962" w:type="dxa"/>
            <w:tcBorders>
              <w:top w:val="single" w:sz="6" w:space="0" w:color="000000"/>
              <w:bottom w:val="single" w:sz="4" w:space="0" w:color="000000"/>
              <w:right w:val="single" w:sz="6" w:space="0" w:color="000000"/>
            </w:tcBorders>
          </w:tcPr>
          <w:p>
            <w:pPr>
              <w:pStyle w:val="TableParagraph"/>
              <w:ind w:left="0" w:right="88"/>
              <w:jc w:val="right"/>
              <w:rPr>
                <w:sz w:val="20"/>
              </w:rPr>
            </w:pPr>
            <w:r>
              <w:rPr>
                <w:w w:val="95"/>
                <w:sz w:val="20"/>
              </w:rPr>
              <w:t>A.12.4.4</w:t>
            </w:r>
          </w:p>
        </w:tc>
        <w:tc>
          <w:tcPr>
            <w:tcW w:w="3595" w:type="dxa"/>
            <w:tcBorders>
              <w:top w:val="single" w:sz="6" w:space="0" w:color="000000"/>
              <w:left w:val="single" w:sz="6" w:space="0" w:color="000000"/>
              <w:bottom w:val="single" w:sz="4" w:space="0" w:color="000000"/>
              <w:right w:val="single" w:sz="6" w:space="0" w:color="000000"/>
            </w:tcBorders>
          </w:tcPr>
          <w:p>
            <w:pPr>
              <w:pStyle w:val="TableParagraph"/>
              <w:rPr>
                <w:sz w:val="20"/>
              </w:rPr>
            </w:pPr>
            <w:r>
              <w:rPr>
                <w:sz w:val="20"/>
              </w:rPr>
              <w:t>Uhrensynchronisation</w:t>
            </w:r>
          </w:p>
        </w:tc>
        <w:tc>
          <w:tcPr>
            <w:tcW w:w="5333" w:type="dxa"/>
            <w:tcBorders>
              <w:top w:val="single" w:sz="6" w:space="0" w:color="000000"/>
              <w:left w:val="single" w:sz="6" w:space="0" w:color="000000"/>
              <w:bottom w:val="single" w:sz="4" w:space="0" w:color="000000"/>
            </w:tcBorders>
          </w:tcPr>
          <w:p>
            <w:pPr>
              <w:pStyle w:val="TableParagraph"/>
              <w:spacing w:before="54"/>
              <w:rPr>
                <w:i/>
                <w:sz w:val="20"/>
              </w:rPr>
            </w:pPr>
            <w:r>
              <w:rPr>
                <w:i/>
                <w:sz w:val="20"/>
              </w:rPr>
              <w:t>Maßnahme</w:t>
            </w:r>
          </w:p>
          <w:p>
            <w:pPr>
              <w:pStyle w:val="TableParagraph"/>
              <w:spacing w:before="63"/>
              <w:ind w:right="79"/>
              <w:jc w:val="both"/>
              <w:rPr>
                <w:sz w:val="20"/>
              </w:rPr>
            </w:pPr>
            <w:r>
              <w:rPr>
                <w:sz w:val="20"/>
              </w:rPr>
              <w:t>Die Uhren aller relevanten informationsverarbeitenden Systeme innerhalb einer Organisation oder einem Sicherheitsbereich werden mit einer einzigen Referenzzeitquelle synchronisiert.</w:t>
            </w:r>
          </w:p>
        </w:tc>
      </w:tr>
      <w:tr>
        <w:trPr>
          <w:trHeight w:val="640" w:hRule="atLeast"/>
        </w:trPr>
        <w:tc>
          <w:tcPr>
            <w:tcW w:w="9890" w:type="dxa"/>
            <w:gridSpan w:val="3"/>
            <w:tcBorders>
              <w:top w:val="single" w:sz="4" w:space="0" w:color="000000"/>
              <w:bottom w:val="single" w:sz="6" w:space="0" w:color="000000"/>
            </w:tcBorders>
          </w:tcPr>
          <w:p>
            <w:pPr>
              <w:pStyle w:val="TableParagraph"/>
              <w:tabs>
                <w:tab w:pos="906" w:val="left" w:leader="none"/>
              </w:tabs>
              <w:spacing w:before="54"/>
              <w:ind w:left="107"/>
              <w:rPr>
                <w:b/>
                <w:sz w:val="20"/>
              </w:rPr>
            </w:pPr>
            <w:r>
              <w:rPr>
                <w:b/>
                <w:sz w:val="20"/>
              </w:rPr>
              <w:t>A.12.5</w:t>
              <w:tab/>
              <w:t>Steuerung von Software im</w:t>
            </w:r>
            <w:r>
              <w:rPr>
                <w:b/>
                <w:spacing w:val="-2"/>
                <w:sz w:val="20"/>
              </w:rPr>
              <w:t> </w:t>
            </w:r>
            <w:r>
              <w:rPr>
                <w:b/>
                <w:sz w:val="20"/>
              </w:rPr>
              <w:t>Betrieb</w:t>
            </w:r>
          </w:p>
          <w:p>
            <w:pPr>
              <w:pStyle w:val="TableParagraph"/>
              <w:spacing w:before="63"/>
              <w:ind w:left="107"/>
              <w:rPr>
                <w:sz w:val="20"/>
              </w:rPr>
            </w:pPr>
            <w:r>
              <w:rPr>
                <w:sz w:val="20"/>
              </w:rPr>
              <w:t>Ziel: Die Integrität von Systemen im Betrieb ist sichergestellt.</w:t>
            </w:r>
          </w:p>
        </w:tc>
      </w:tr>
      <w:tr>
        <w:trPr>
          <w:trHeight w:val="870" w:hRule="atLeast"/>
        </w:trPr>
        <w:tc>
          <w:tcPr>
            <w:tcW w:w="962" w:type="dxa"/>
            <w:tcBorders>
              <w:top w:val="single" w:sz="6" w:space="0" w:color="000000"/>
              <w:bottom w:val="single" w:sz="6" w:space="0" w:color="000000"/>
              <w:right w:val="single" w:sz="6" w:space="0" w:color="000000"/>
            </w:tcBorders>
          </w:tcPr>
          <w:p>
            <w:pPr>
              <w:pStyle w:val="TableParagraph"/>
              <w:ind w:left="0" w:right="88"/>
              <w:jc w:val="right"/>
              <w:rPr>
                <w:sz w:val="20"/>
              </w:rPr>
            </w:pPr>
            <w:r>
              <w:rPr>
                <w:w w:val="95"/>
                <w:sz w:val="20"/>
              </w:rPr>
              <w:t>A.12.5.1</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ind w:right="765"/>
              <w:rPr>
                <w:sz w:val="20"/>
              </w:rPr>
            </w:pPr>
            <w:r>
              <w:rPr>
                <w:sz w:val="20"/>
              </w:rPr>
              <w:t>Installation von Software auf Systemen im Betrieb</w:t>
            </w:r>
          </w:p>
        </w:tc>
        <w:tc>
          <w:tcPr>
            <w:tcW w:w="5333" w:type="dxa"/>
            <w:tcBorders>
              <w:top w:val="single" w:sz="6" w:space="0" w:color="000000"/>
              <w:left w:val="single" w:sz="6" w:space="0" w:color="000000"/>
              <w:bottom w:val="single" w:sz="6" w:space="0" w:color="000000"/>
            </w:tcBorders>
          </w:tcPr>
          <w:p>
            <w:pPr>
              <w:pStyle w:val="TableParagraph"/>
              <w:spacing w:before="54"/>
              <w:rPr>
                <w:i/>
                <w:sz w:val="20"/>
              </w:rPr>
            </w:pPr>
            <w:r>
              <w:rPr>
                <w:i/>
                <w:sz w:val="20"/>
              </w:rPr>
              <w:t>Maßnahme</w:t>
            </w:r>
          </w:p>
          <w:p>
            <w:pPr>
              <w:pStyle w:val="TableParagraph"/>
              <w:spacing w:before="63"/>
              <w:ind w:right="72"/>
              <w:rPr>
                <w:sz w:val="20"/>
              </w:rPr>
            </w:pPr>
            <w:r>
              <w:rPr>
                <w:sz w:val="20"/>
              </w:rPr>
              <w:t>Verfahren zur Steuerung der Installation von Software auf Systemen im Betrieb sind umgesetzt.</w:t>
            </w:r>
          </w:p>
        </w:tc>
      </w:tr>
      <w:tr>
        <w:trPr>
          <w:trHeight w:val="640" w:hRule="atLeast"/>
        </w:trPr>
        <w:tc>
          <w:tcPr>
            <w:tcW w:w="9890" w:type="dxa"/>
            <w:gridSpan w:val="3"/>
            <w:tcBorders>
              <w:top w:val="single" w:sz="6" w:space="0" w:color="000000"/>
              <w:bottom w:val="single" w:sz="6" w:space="0" w:color="000000"/>
            </w:tcBorders>
          </w:tcPr>
          <w:p>
            <w:pPr>
              <w:pStyle w:val="TableParagraph"/>
              <w:tabs>
                <w:tab w:pos="906" w:val="left" w:leader="none"/>
              </w:tabs>
              <w:spacing w:before="54"/>
              <w:ind w:left="107"/>
              <w:rPr>
                <w:b/>
                <w:sz w:val="20"/>
              </w:rPr>
            </w:pPr>
            <w:r>
              <w:rPr>
                <w:b/>
                <w:sz w:val="20"/>
              </w:rPr>
              <w:t>A.12.6</w:t>
              <w:tab/>
              <w:t>Handhabung technischer</w:t>
            </w:r>
            <w:r>
              <w:rPr>
                <w:b/>
                <w:spacing w:val="1"/>
                <w:sz w:val="20"/>
              </w:rPr>
              <w:t> </w:t>
            </w:r>
            <w:r>
              <w:rPr>
                <w:b/>
                <w:sz w:val="20"/>
              </w:rPr>
              <w:t>Schwachstellen</w:t>
            </w:r>
          </w:p>
          <w:p>
            <w:pPr>
              <w:pStyle w:val="TableParagraph"/>
              <w:spacing w:before="63"/>
              <w:ind w:left="107"/>
              <w:rPr>
                <w:sz w:val="20"/>
              </w:rPr>
            </w:pPr>
            <w:r>
              <w:rPr>
                <w:sz w:val="20"/>
              </w:rPr>
              <w:t>Ziel: Die Ausnutzung technischer Schwachstellen ist verhindert.</w:t>
            </w:r>
          </w:p>
        </w:tc>
      </w:tr>
      <w:tr>
        <w:trPr>
          <w:trHeight w:val="1789" w:hRule="atLeast"/>
        </w:trPr>
        <w:tc>
          <w:tcPr>
            <w:tcW w:w="962" w:type="dxa"/>
            <w:tcBorders>
              <w:top w:val="single" w:sz="6" w:space="0" w:color="000000"/>
              <w:bottom w:val="single" w:sz="6" w:space="0" w:color="000000"/>
              <w:right w:val="single" w:sz="6" w:space="0" w:color="000000"/>
            </w:tcBorders>
          </w:tcPr>
          <w:p>
            <w:pPr>
              <w:pStyle w:val="TableParagraph"/>
              <w:ind w:left="0" w:right="88"/>
              <w:jc w:val="right"/>
              <w:rPr>
                <w:sz w:val="20"/>
              </w:rPr>
            </w:pPr>
            <w:r>
              <w:rPr>
                <w:w w:val="95"/>
                <w:sz w:val="20"/>
              </w:rPr>
              <w:t>A.12.6.1</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ind w:right="798"/>
              <w:rPr>
                <w:sz w:val="20"/>
              </w:rPr>
            </w:pPr>
            <w:r>
              <w:rPr>
                <w:sz w:val="20"/>
              </w:rPr>
              <w:t>Handhabung von technischen Schwachstellen</w:t>
            </w:r>
          </w:p>
        </w:tc>
        <w:tc>
          <w:tcPr>
            <w:tcW w:w="5333" w:type="dxa"/>
            <w:tcBorders>
              <w:top w:val="single" w:sz="6" w:space="0" w:color="000000"/>
              <w:left w:val="single" w:sz="6" w:space="0" w:color="000000"/>
              <w:bottom w:val="single" w:sz="6" w:space="0" w:color="000000"/>
            </w:tcBorders>
          </w:tcPr>
          <w:p>
            <w:pPr>
              <w:pStyle w:val="TableParagraph"/>
              <w:spacing w:before="54"/>
              <w:rPr>
                <w:i/>
                <w:sz w:val="20"/>
              </w:rPr>
            </w:pPr>
            <w:r>
              <w:rPr>
                <w:i/>
                <w:sz w:val="20"/>
              </w:rPr>
              <w:t>Maßnahme</w:t>
            </w:r>
          </w:p>
          <w:p>
            <w:pPr>
              <w:pStyle w:val="TableParagraph"/>
              <w:spacing w:before="63"/>
              <w:ind w:right="78"/>
              <w:jc w:val="both"/>
              <w:rPr>
                <w:sz w:val="20"/>
              </w:rPr>
            </w:pPr>
            <w:r>
              <w:rPr>
                <w:sz w:val="20"/>
              </w:rPr>
              <w:t>Information über technische Schwachstellen verwendeter Informationssysteme wird rechtzeitig eingeholt, die Gefährdung der Organisation durch derartige Schwachstellen wird bewertet und angemessene Maßnahmen werden ergriffen, um das dazugehörige Risiko zu behandeln.</w:t>
            </w:r>
          </w:p>
        </w:tc>
      </w:tr>
      <w:tr>
        <w:trPr>
          <w:trHeight w:val="868" w:hRule="atLeast"/>
        </w:trPr>
        <w:tc>
          <w:tcPr>
            <w:tcW w:w="962" w:type="dxa"/>
            <w:tcBorders>
              <w:top w:val="single" w:sz="6" w:space="0" w:color="000000"/>
              <w:bottom w:val="single" w:sz="6" w:space="0" w:color="000000"/>
              <w:right w:val="single" w:sz="6" w:space="0" w:color="000000"/>
            </w:tcBorders>
          </w:tcPr>
          <w:p>
            <w:pPr>
              <w:pStyle w:val="TableParagraph"/>
              <w:ind w:left="0" w:right="88"/>
              <w:jc w:val="right"/>
              <w:rPr>
                <w:sz w:val="20"/>
              </w:rPr>
            </w:pPr>
            <w:r>
              <w:rPr>
                <w:w w:val="95"/>
                <w:sz w:val="20"/>
              </w:rPr>
              <w:t>A.12.6.2</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ind w:right="765" w:hanging="1"/>
              <w:rPr>
                <w:sz w:val="20"/>
              </w:rPr>
            </w:pPr>
            <w:r>
              <w:rPr>
                <w:sz w:val="20"/>
              </w:rPr>
              <w:t>Einschränkung von </w:t>
            </w:r>
            <w:r>
              <w:rPr>
                <w:w w:val="95"/>
                <w:sz w:val="20"/>
              </w:rPr>
              <w:t>Softwareinstallation</w:t>
            </w:r>
          </w:p>
        </w:tc>
        <w:tc>
          <w:tcPr>
            <w:tcW w:w="5333" w:type="dxa"/>
            <w:tcBorders>
              <w:top w:val="single" w:sz="6" w:space="0" w:color="000000"/>
              <w:left w:val="single" w:sz="6" w:space="0" w:color="000000"/>
              <w:bottom w:val="single" w:sz="6" w:space="0" w:color="000000"/>
            </w:tcBorders>
          </w:tcPr>
          <w:p>
            <w:pPr>
              <w:pStyle w:val="TableParagraph"/>
              <w:spacing w:before="54"/>
              <w:rPr>
                <w:i/>
                <w:sz w:val="20"/>
              </w:rPr>
            </w:pPr>
            <w:r>
              <w:rPr>
                <w:i/>
                <w:sz w:val="20"/>
              </w:rPr>
              <w:t>Maßnahme</w:t>
            </w:r>
          </w:p>
          <w:p>
            <w:pPr>
              <w:pStyle w:val="TableParagraph"/>
              <w:spacing w:before="63"/>
              <w:rPr>
                <w:sz w:val="20"/>
              </w:rPr>
            </w:pPr>
            <w:r>
              <w:rPr>
                <w:sz w:val="20"/>
              </w:rPr>
              <w:t>Regeln für die Softwareinstallation durch Benutzer sind festgelegt und umgesetzt.</w:t>
            </w:r>
          </w:p>
        </w:tc>
      </w:tr>
      <w:tr>
        <w:trPr>
          <w:trHeight w:val="640" w:hRule="atLeast"/>
        </w:trPr>
        <w:tc>
          <w:tcPr>
            <w:tcW w:w="9890" w:type="dxa"/>
            <w:gridSpan w:val="3"/>
            <w:tcBorders>
              <w:top w:val="single" w:sz="6" w:space="0" w:color="000000"/>
              <w:bottom w:val="single" w:sz="6" w:space="0" w:color="000000"/>
            </w:tcBorders>
          </w:tcPr>
          <w:p>
            <w:pPr>
              <w:pStyle w:val="TableParagraph"/>
              <w:tabs>
                <w:tab w:pos="906" w:val="left" w:leader="none"/>
              </w:tabs>
              <w:ind w:left="107"/>
              <w:rPr>
                <w:b/>
                <w:sz w:val="20"/>
              </w:rPr>
            </w:pPr>
            <w:r>
              <w:rPr>
                <w:b/>
                <w:sz w:val="20"/>
              </w:rPr>
              <w:t>A.12.7</w:t>
              <w:tab/>
              <w:t>Audit von</w:t>
            </w:r>
            <w:r>
              <w:rPr>
                <w:b/>
                <w:spacing w:val="-1"/>
                <w:sz w:val="20"/>
              </w:rPr>
              <w:t> </w:t>
            </w:r>
            <w:r>
              <w:rPr>
                <w:b/>
                <w:sz w:val="20"/>
              </w:rPr>
              <w:t>Informationssystemen</w:t>
            </w:r>
          </w:p>
          <w:p>
            <w:pPr>
              <w:pStyle w:val="TableParagraph"/>
              <w:spacing w:before="60"/>
              <w:ind w:left="107"/>
              <w:rPr>
                <w:sz w:val="20"/>
              </w:rPr>
            </w:pPr>
            <w:r>
              <w:rPr>
                <w:sz w:val="20"/>
              </w:rPr>
              <w:t>Ziel: Die Auswirkung von Audittätigkeiten auf Systeme im Betrieb ist minimiert.</w:t>
            </w:r>
          </w:p>
        </w:tc>
      </w:tr>
      <w:tr>
        <w:trPr>
          <w:trHeight w:val="1331" w:hRule="atLeast"/>
        </w:trPr>
        <w:tc>
          <w:tcPr>
            <w:tcW w:w="962" w:type="dxa"/>
            <w:tcBorders>
              <w:top w:val="single" w:sz="6" w:space="0" w:color="000000"/>
              <w:bottom w:val="single" w:sz="6" w:space="0" w:color="000000"/>
              <w:right w:val="single" w:sz="6" w:space="0" w:color="000000"/>
            </w:tcBorders>
          </w:tcPr>
          <w:p>
            <w:pPr>
              <w:pStyle w:val="TableParagraph"/>
              <w:spacing w:before="59"/>
              <w:ind w:left="0" w:right="88"/>
              <w:jc w:val="right"/>
              <w:rPr>
                <w:sz w:val="20"/>
              </w:rPr>
            </w:pPr>
            <w:r>
              <w:rPr>
                <w:w w:val="95"/>
                <w:sz w:val="20"/>
              </w:rPr>
              <w:t>A.12.7.1</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spacing w:before="59"/>
              <w:ind w:right="1043"/>
              <w:rPr>
                <w:sz w:val="20"/>
              </w:rPr>
            </w:pPr>
            <w:r>
              <w:rPr>
                <w:sz w:val="20"/>
              </w:rPr>
              <w:t>Maßnahmen für Audits von Informationssystemen</w:t>
            </w:r>
          </w:p>
        </w:tc>
        <w:tc>
          <w:tcPr>
            <w:tcW w:w="5333" w:type="dxa"/>
            <w:tcBorders>
              <w:top w:val="single" w:sz="6" w:space="0" w:color="000000"/>
              <w:left w:val="single" w:sz="6" w:space="0" w:color="000000"/>
              <w:bottom w:val="single" w:sz="6" w:space="0" w:color="000000"/>
            </w:tcBorders>
          </w:tcPr>
          <w:p>
            <w:pPr>
              <w:pStyle w:val="TableParagraph"/>
              <w:rPr>
                <w:i/>
                <w:sz w:val="20"/>
              </w:rPr>
            </w:pPr>
            <w:r>
              <w:rPr>
                <w:i/>
                <w:sz w:val="20"/>
              </w:rPr>
              <w:t>Maßnahme</w:t>
            </w:r>
          </w:p>
          <w:p>
            <w:pPr>
              <w:pStyle w:val="TableParagraph"/>
              <w:spacing w:before="60"/>
              <w:ind w:right="77"/>
              <w:jc w:val="both"/>
              <w:rPr>
                <w:sz w:val="20"/>
              </w:rPr>
            </w:pPr>
            <w:r>
              <w:rPr>
                <w:sz w:val="20"/>
              </w:rPr>
              <w:t>Auditanforderungen und -tätigkeiten, welche eine Überprüfung betrieblicher Systeme beinhalten, werden sorgfältig geplant und vereinbart, um Störungen der Geschäftsprozesse zu minimieren.</w:t>
            </w:r>
          </w:p>
        </w:tc>
      </w:tr>
      <w:tr>
        <w:trPr>
          <w:trHeight w:val="349" w:hRule="atLeast"/>
        </w:trPr>
        <w:tc>
          <w:tcPr>
            <w:tcW w:w="9890" w:type="dxa"/>
            <w:gridSpan w:val="3"/>
            <w:tcBorders>
              <w:top w:val="single" w:sz="6" w:space="0" w:color="000000"/>
              <w:bottom w:val="single" w:sz="6" w:space="0" w:color="000000"/>
            </w:tcBorders>
          </w:tcPr>
          <w:p>
            <w:pPr>
              <w:pStyle w:val="TableParagraph"/>
              <w:tabs>
                <w:tab w:pos="906" w:val="left" w:leader="none"/>
              </w:tabs>
              <w:spacing w:before="54"/>
              <w:ind w:left="107"/>
              <w:rPr>
                <w:b/>
                <w:sz w:val="20"/>
              </w:rPr>
            </w:pPr>
            <w:r>
              <w:rPr>
                <w:b/>
                <w:sz w:val="20"/>
              </w:rPr>
              <w:t>A.13</w:t>
              <w:tab/>
              <w:t>Kommunikationssicherheit</w:t>
            </w:r>
          </w:p>
        </w:tc>
      </w:tr>
      <w:tr>
        <w:trPr>
          <w:trHeight w:val="870" w:hRule="atLeast"/>
        </w:trPr>
        <w:tc>
          <w:tcPr>
            <w:tcW w:w="9890" w:type="dxa"/>
            <w:gridSpan w:val="3"/>
            <w:tcBorders>
              <w:top w:val="single" w:sz="6" w:space="0" w:color="000000"/>
              <w:bottom w:val="single" w:sz="6" w:space="0" w:color="000000"/>
            </w:tcBorders>
          </w:tcPr>
          <w:p>
            <w:pPr>
              <w:pStyle w:val="TableParagraph"/>
              <w:tabs>
                <w:tab w:pos="906" w:val="left" w:leader="none"/>
              </w:tabs>
              <w:spacing w:before="54"/>
              <w:ind w:left="107"/>
              <w:rPr>
                <w:b/>
                <w:sz w:val="20"/>
              </w:rPr>
            </w:pPr>
            <w:r>
              <w:rPr>
                <w:b/>
                <w:sz w:val="20"/>
              </w:rPr>
              <w:t>A.13.1</w:t>
              <w:tab/>
              <w:t>Netzwerksicherheitsmanagement</w:t>
            </w:r>
          </w:p>
          <w:p>
            <w:pPr>
              <w:pStyle w:val="TableParagraph"/>
              <w:spacing w:before="63"/>
              <w:ind w:left="107"/>
              <w:rPr>
                <w:sz w:val="20"/>
              </w:rPr>
            </w:pPr>
            <w:r>
              <w:rPr>
                <w:sz w:val="20"/>
              </w:rPr>
              <w:t>Ziel: Der Schutz von Information in Netzwerken und den unterstützenden informationsverarbeitenden Einrichtungen ist sichergestellt.</w:t>
            </w:r>
          </w:p>
        </w:tc>
      </w:tr>
      <w:tr>
        <w:trPr>
          <w:trHeight w:val="868" w:hRule="atLeast"/>
        </w:trPr>
        <w:tc>
          <w:tcPr>
            <w:tcW w:w="962" w:type="dxa"/>
            <w:tcBorders>
              <w:top w:val="single" w:sz="6" w:space="0" w:color="000000"/>
              <w:bottom w:val="single" w:sz="6" w:space="0" w:color="000000"/>
              <w:right w:val="single" w:sz="6" w:space="0" w:color="000000"/>
            </w:tcBorders>
          </w:tcPr>
          <w:p>
            <w:pPr>
              <w:pStyle w:val="TableParagraph"/>
              <w:ind w:left="0" w:right="88"/>
              <w:jc w:val="right"/>
              <w:rPr>
                <w:sz w:val="20"/>
              </w:rPr>
            </w:pPr>
            <w:r>
              <w:rPr>
                <w:w w:val="95"/>
                <w:sz w:val="20"/>
              </w:rPr>
              <w:t>A.13.1.1</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rPr>
                <w:sz w:val="20"/>
              </w:rPr>
            </w:pPr>
            <w:r>
              <w:rPr>
                <w:sz w:val="20"/>
              </w:rPr>
              <w:t>Netzwerksteuerungsmaßnahmen</w:t>
            </w:r>
          </w:p>
        </w:tc>
        <w:tc>
          <w:tcPr>
            <w:tcW w:w="5333" w:type="dxa"/>
            <w:tcBorders>
              <w:top w:val="single" w:sz="6" w:space="0" w:color="000000"/>
              <w:left w:val="single" w:sz="6" w:space="0" w:color="000000"/>
              <w:bottom w:val="single" w:sz="6" w:space="0" w:color="000000"/>
            </w:tcBorders>
          </w:tcPr>
          <w:p>
            <w:pPr>
              <w:pStyle w:val="TableParagraph"/>
              <w:spacing w:before="54"/>
              <w:rPr>
                <w:i/>
                <w:sz w:val="20"/>
              </w:rPr>
            </w:pPr>
            <w:r>
              <w:rPr>
                <w:i/>
                <w:sz w:val="20"/>
              </w:rPr>
              <w:t>Maßnahme</w:t>
            </w:r>
          </w:p>
          <w:p>
            <w:pPr>
              <w:pStyle w:val="TableParagraph"/>
              <w:tabs>
                <w:tab w:pos="1303" w:val="left" w:leader="none"/>
                <w:tab w:pos="2201" w:val="left" w:leader="none"/>
                <w:tab w:pos="3242" w:val="left" w:leader="none"/>
                <w:tab w:pos="3821" w:val="left" w:leader="none"/>
                <w:tab w:pos="4953" w:val="left" w:leader="none"/>
              </w:tabs>
              <w:spacing w:before="63"/>
              <w:ind w:right="78"/>
              <w:rPr>
                <w:sz w:val="20"/>
              </w:rPr>
            </w:pPr>
            <w:r>
              <w:rPr>
                <w:sz w:val="20"/>
              </w:rPr>
              <w:t>Netzwerke</w:t>
              <w:tab/>
              <w:t>werden</w:t>
              <w:tab/>
              <w:t>verwaltet</w:t>
              <w:tab/>
              <w:t>und</w:t>
              <w:tab/>
              <w:t>gesteuert,</w:t>
              <w:tab/>
            </w:r>
            <w:r>
              <w:rPr>
                <w:spacing w:val="-9"/>
                <w:sz w:val="20"/>
              </w:rPr>
              <w:t>um </w:t>
            </w:r>
            <w:r>
              <w:rPr>
                <w:sz w:val="20"/>
              </w:rPr>
              <w:t>Information in Systemen und Anwendungen zu</w:t>
            </w:r>
            <w:r>
              <w:rPr>
                <w:spacing w:val="-22"/>
                <w:sz w:val="20"/>
              </w:rPr>
              <w:t> </w:t>
            </w:r>
            <w:r>
              <w:rPr>
                <w:sz w:val="20"/>
              </w:rPr>
              <w:t>schützen.</w:t>
            </w:r>
          </w:p>
        </w:tc>
      </w:tr>
      <w:tr>
        <w:trPr>
          <w:trHeight w:val="1561" w:hRule="atLeast"/>
        </w:trPr>
        <w:tc>
          <w:tcPr>
            <w:tcW w:w="962" w:type="dxa"/>
            <w:tcBorders>
              <w:top w:val="single" w:sz="6" w:space="0" w:color="000000"/>
              <w:bottom w:val="single" w:sz="6" w:space="0" w:color="000000"/>
              <w:right w:val="single" w:sz="6" w:space="0" w:color="000000"/>
            </w:tcBorders>
          </w:tcPr>
          <w:p>
            <w:pPr>
              <w:pStyle w:val="TableParagraph"/>
              <w:spacing w:before="59"/>
              <w:ind w:left="0" w:right="88"/>
              <w:jc w:val="right"/>
              <w:rPr>
                <w:sz w:val="20"/>
              </w:rPr>
            </w:pPr>
            <w:r>
              <w:rPr>
                <w:w w:val="95"/>
                <w:sz w:val="20"/>
              </w:rPr>
              <w:t>A.13.1.2</w:t>
            </w:r>
          </w:p>
        </w:tc>
        <w:tc>
          <w:tcPr>
            <w:tcW w:w="3595" w:type="dxa"/>
            <w:tcBorders>
              <w:top w:val="single" w:sz="6" w:space="0" w:color="000000"/>
              <w:left w:val="single" w:sz="6" w:space="0" w:color="000000"/>
              <w:bottom w:val="single" w:sz="6" w:space="0" w:color="000000"/>
              <w:right w:val="single" w:sz="6" w:space="0" w:color="000000"/>
            </w:tcBorders>
          </w:tcPr>
          <w:p>
            <w:pPr>
              <w:pStyle w:val="TableParagraph"/>
              <w:spacing w:before="59"/>
              <w:rPr>
                <w:sz w:val="20"/>
              </w:rPr>
            </w:pPr>
            <w:r>
              <w:rPr>
                <w:sz w:val="20"/>
              </w:rPr>
              <w:t>Sicherheit von Netzwerkdiensten</w:t>
            </w:r>
          </w:p>
        </w:tc>
        <w:tc>
          <w:tcPr>
            <w:tcW w:w="5333" w:type="dxa"/>
            <w:tcBorders>
              <w:top w:val="single" w:sz="6" w:space="0" w:color="000000"/>
              <w:left w:val="single" w:sz="6" w:space="0" w:color="000000"/>
              <w:bottom w:val="single" w:sz="6" w:space="0" w:color="000000"/>
            </w:tcBorders>
          </w:tcPr>
          <w:p>
            <w:pPr>
              <w:pStyle w:val="TableParagraph"/>
              <w:rPr>
                <w:i/>
                <w:sz w:val="20"/>
              </w:rPr>
            </w:pPr>
            <w:r>
              <w:rPr>
                <w:i/>
                <w:sz w:val="20"/>
              </w:rPr>
              <w:t>Maßnahme</w:t>
            </w:r>
          </w:p>
          <w:p>
            <w:pPr>
              <w:pStyle w:val="TableParagraph"/>
              <w:spacing w:before="60"/>
              <w:ind w:right="72"/>
              <w:jc w:val="both"/>
              <w:rPr>
                <w:sz w:val="20"/>
              </w:rPr>
            </w:pPr>
            <w:r>
              <w:rPr>
                <w:sz w:val="20"/>
              </w:rPr>
              <w:t>Sicherheitsmechanismen, Dienstgüte und Anforderungen an die Verwaltung aller Netzwerkdienste sind bestimmt und werden sowohl für interne als auch für ausgegliederte Netzwerkdienste in Vereinbarungen aufgenommen.</w:t>
            </w:r>
          </w:p>
        </w:tc>
      </w:tr>
    </w:tbl>
    <w:p>
      <w:pPr>
        <w:spacing w:after="0"/>
        <w:jc w:val="both"/>
        <w:rPr>
          <w:sz w:val="20"/>
        </w:rPr>
        <w:sectPr>
          <w:pgSz w:w="11910" w:h="16840"/>
          <w:pgMar w:header="710" w:footer="120" w:top="1540" w:bottom="320" w:left="260" w:right="540"/>
        </w:sectPr>
      </w:pPr>
    </w:p>
    <w:p>
      <w:pPr>
        <w:pStyle w:val="BodyText"/>
        <w:spacing w:before="8"/>
        <w:rPr>
          <w:sz w:val="8"/>
        </w:rPr>
      </w:pPr>
      <w:r>
        <w:rPr/>
        <w:pict>
          <v:shape style="position:absolute;margin-left:9.663086pt;margin-top:739.23053pt;width:9.85pt;height:83.7pt;mso-position-horizontal-relative:page;mso-position-vertical-relative:page;z-index:251685888"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p>
    <w:tbl>
      <w:tblPr>
        <w:tblW w:w="0" w:type="auto"/>
        <w:jc w:val="left"/>
        <w:tblInd w:w="1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
        <w:gridCol w:w="3595"/>
        <w:gridCol w:w="5333"/>
      </w:tblGrid>
      <w:tr>
        <w:trPr>
          <w:trHeight w:val="1100" w:hRule="atLeast"/>
        </w:trPr>
        <w:tc>
          <w:tcPr>
            <w:tcW w:w="962" w:type="dxa"/>
            <w:tcBorders>
              <w:left w:val="single" w:sz="12" w:space="0" w:color="000000"/>
            </w:tcBorders>
          </w:tcPr>
          <w:p>
            <w:pPr>
              <w:pStyle w:val="TableParagraph"/>
              <w:ind w:left="109"/>
              <w:rPr>
                <w:sz w:val="20"/>
              </w:rPr>
            </w:pPr>
            <w:r>
              <w:rPr>
                <w:sz w:val="20"/>
              </w:rPr>
              <w:t>A.13.1.3</w:t>
            </w:r>
          </w:p>
        </w:tc>
        <w:tc>
          <w:tcPr>
            <w:tcW w:w="3595" w:type="dxa"/>
          </w:tcPr>
          <w:p>
            <w:pPr>
              <w:pStyle w:val="TableParagraph"/>
              <w:ind w:left="117"/>
              <w:rPr>
                <w:sz w:val="20"/>
              </w:rPr>
            </w:pPr>
            <w:r>
              <w:rPr>
                <w:sz w:val="20"/>
              </w:rPr>
              <w:t>Trennung in Netzwerken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5"/>
              <w:jc w:val="both"/>
              <w:rPr>
                <w:sz w:val="20"/>
              </w:rPr>
            </w:pPr>
            <w:r>
              <w:rPr>
                <w:sz w:val="20"/>
              </w:rPr>
              <w:t>Informationsdienste, Benutzer und Informationssysteme werden in Netzwerken gruppenweise voneinander getrennt gehalten.</w:t>
            </w:r>
          </w:p>
        </w:tc>
      </w:tr>
      <w:tr>
        <w:trPr>
          <w:trHeight w:val="868" w:hRule="atLeast"/>
        </w:trPr>
        <w:tc>
          <w:tcPr>
            <w:tcW w:w="9890" w:type="dxa"/>
            <w:gridSpan w:val="3"/>
            <w:tcBorders>
              <w:left w:val="single" w:sz="12" w:space="0" w:color="000000"/>
              <w:bottom w:val="single" w:sz="4" w:space="0" w:color="000000"/>
              <w:right w:val="single" w:sz="12" w:space="0" w:color="000000"/>
            </w:tcBorders>
          </w:tcPr>
          <w:p>
            <w:pPr>
              <w:pStyle w:val="TableParagraph"/>
              <w:tabs>
                <w:tab w:pos="908" w:val="left" w:leader="none"/>
              </w:tabs>
              <w:spacing w:before="54"/>
              <w:ind w:left="109"/>
              <w:rPr>
                <w:b/>
                <w:sz w:val="20"/>
              </w:rPr>
            </w:pPr>
            <w:r>
              <w:rPr>
                <w:b/>
                <w:sz w:val="20"/>
              </w:rPr>
              <w:t>A.13.2</w:t>
              <w:tab/>
              <w:t>Informationsübertragung</w:t>
            </w:r>
          </w:p>
          <w:p>
            <w:pPr>
              <w:pStyle w:val="TableParagraph"/>
              <w:spacing w:before="63"/>
              <w:ind w:left="109"/>
              <w:rPr>
                <w:sz w:val="20"/>
              </w:rPr>
            </w:pPr>
            <w:r>
              <w:rPr>
                <w:sz w:val="20"/>
              </w:rPr>
              <w:t>Ziel: Die Sicherheit von übertragener Information, sowohl innerhalb einer Organisation als auch mit jeglicher externen Stelle, ist</w:t>
            </w:r>
            <w:r>
              <w:rPr>
                <w:spacing w:val="1"/>
                <w:sz w:val="20"/>
              </w:rPr>
              <w:t> </w:t>
            </w:r>
            <w:r>
              <w:rPr>
                <w:sz w:val="20"/>
              </w:rPr>
              <w:t>aufrechterhalten.</w:t>
            </w:r>
          </w:p>
        </w:tc>
      </w:tr>
      <w:tr>
        <w:trPr>
          <w:trHeight w:val="1331" w:hRule="atLeast"/>
        </w:trPr>
        <w:tc>
          <w:tcPr>
            <w:tcW w:w="962" w:type="dxa"/>
            <w:tcBorders>
              <w:top w:val="single" w:sz="4" w:space="0" w:color="000000"/>
              <w:left w:val="single" w:sz="12" w:space="0" w:color="000000"/>
            </w:tcBorders>
          </w:tcPr>
          <w:p>
            <w:pPr>
              <w:pStyle w:val="TableParagraph"/>
              <w:ind w:left="109"/>
              <w:rPr>
                <w:sz w:val="20"/>
              </w:rPr>
            </w:pPr>
            <w:r>
              <w:rPr>
                <w:sz w:val="20"/>
              </w:rPr>
              <w:t>A.13.2.1</w:t>
            </w:r>
          </w:p>
        </w:tc>
        <w:tc>
          <w:tcPr>
            <w:tcW w:w="3595" w:type="dxa"/>
            <w:tcBorders>
              <w:top w:val="single" w:sz="4" w:space="0" w:color="000000"/>
            </w:tcBorders>
          </w:tcPr>
          <w:p>
            <w:pPr>
              <w:pStyle w:val="TableParagraph"/>
              <w:ind w:left="117" w:right="863"/>
              <w:rPr>
                <w:sz w:val="20"/>
              </w:rPr>
            </w:pPr>
            <w:r>
              <w:rPr>
                <w:sz w:val="20"/>
              </w:rPr>
              <w:t>Richtlinien und Verfahren zur Informationsübertragung</w:t>
            </w:r>
          </w:p>
        </w:tc>
        <w:tc>
          <w:tcPr>
            <w:tcW w:w="5333" w:type="dxa"/>
            <w:tcBorders>
              <w:top w:val="single" w:sz="4" w:space="0" w:color="000000"/>
              <w:right w:val="single" w:sz="12" w:space="0" w:color="000000"/>
            </w:tcBorders>
          </w:tcPr>
          <w:p>
            <w:pPr>
              <w:pStyle w:val="TableParagraph"/>
              <w:spacing w:before="54"/>
              <w:rPr>
                <w:i/>
                <w:sz w:val="20"/>
              </w:rPr>
            </w:pPr>
            <w:r>
              <w:rPr>
                <w:i/>
                <w:sz w:val="20"/>
              </w:rPr>
              <w:t>Maßnahme</w:t>
            </w:r>
          </w:p>
          <w:p>
            <w:pPr>
              <w:pStyle w:val="TableParagraph"/>
              <w:tabs>
                <w:tab w:pos="1190" w:val="left" w:leader="none"/>
                <w:tab w:pos="3643" w:val="left" w:leader="none"/>
                <w:tab w:pos="4898" w:val="left" w:leader="none"/>
              </w:tabs>
              <w:spacing w:before="63"/>
              <w:rPr>
                <w:sz w:val="20"/>
              </w:rPr>
            </w:pPr>
            <w:r>
              <w:rPr>
                <w:sz w:val="20"/>
              </w:rPr>
              <w:t>Formale</w:t>
              <w:tab/>
              <w:t>Übertragungsrichtlinien,</w:t>
              <w:tab/>
              <w:t>-verfahren</w:t>
              <w:tab/>
              <w:t>und</w:t>
            </w:r>
          </w:p>
          <w:p>
            <w:pPr>
              <w:pStyle w:val="TableParagraph"/>
              <w:tabs>
                <w:tab w:pos="1807" w:val="left" w:leader="none"/>
                <w:tab w:pos="2736" w:val="left" w:leader="none"/>
                <w:tab w:pos="3739" w:val="left" w:leader="none"/>
                <w:tab w:pos="4910" w:val="left" w:leader="none"/>
              </w:tabs>
              <w:spacing w:before="1"/>
              <w:ind w:right="78"/>
              <w:jc w:val="both"/>
              <w:rPr>
                <w:sz w:val="20"/>
              </w:rPr>
            </w:pPr>
            <w:r>
              <w:rPr>
                <w:sz w:val="20"/>
              </w:rPr>
              <w:t>-maßnahmen sind vorhanden, um die Übertragung von Information</w:t>
              <w:tab/>
              <w:t>für</w:t>
              <w:tab/>
              <w:t>alle</w:t>
              <w:tab/>
              <w:t>Arten</w:t>
              <w:tab/>
            </w:r>
            <w:r>
              <w:rPr>
                <w:spacing w:val="-7"/>
                <w:sz w:val="20"/>
              </w:rPr>
              <w:t>von </w:t>
            </w:r>
            <w:r>
              <w:rPr>
                <w:sz w:val="20"/>
              </w:rPr>
              <w:t>Kommunikationseinrichtungen zu</w:t>
            </w:r>
            <w:r>
              <w:rPr>
                <w:spacing w:val="-3"/>
                <w:sz w:val="20"/>
              </w:rPr>
              <w:t> </w:t>
            </w:r>
            <w:r>
              <w:rPr>
                <w:sz w:val="20"/>
              </w:rPr>
              <w:t>schützen.</w:t>
            </w:r>
          </w:p>
        </w:tc>
      </w:tr>
      <w:tr>
        <w:trPr>
          <w:trHeight w:val="1098" w:hRule="atLeast"/>
        </w:trPr>
        <w:tc>
          <w:tcPr>
            <w:tcW w:w="962" w:type="dxa"/>
            <w:tcBorders>
              <w:left w:val="single" w:sz="12" w:space="0" w:color="000000"/>
            </w:tcBorders>
          </w:tcPr>
          <w:p>
            <w:pPr>
              <w:pStyle w:val="TableParagraph"/>
              <w:ind w:left="109"/>
              <w:rPr>
                <w:sz w:val="20"/>
              </w:rPr>
            </w:pPr>
            <w:r>
              <w:rPr>
                <w:sz w:val="20"/>
              </w:rPr>
              <w:t>A.13.2.2</w:t>
            </w:r>
          </w:p>
        </w:tc>
        <w:tc>
          <w:tcPr>
            <w:tcW w:w="3595" w:type="dxa"/>
          </w:tcPr>
          <w:p>
            <w:pPr>
              <w:pStyle w:val="TableParagraph"/>
              <w:ind w:left="117"/>
              <w:rPr>
                <w:sz w:val="20"/>
              </w:rPr>
            </w:pPr>
            <w:r>
              <w:rPr>
                <w:sz w:val="20"/>
              </w:rPr>
              <w:t>Vereinbarungen zur </w:t>
            </w:r>
            <w:r>
              <w:rPr>
                <w:w w:val="95"/>
                <w:sz w:val="20"/>
              </w:rPr>
              <w:t>Informationsübertragung</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6"/>
              <w:jc w:val="both"/>
              <w:rPr>
                <w:sz w:val="20"/>
              </w:rPr>
            </w:pPr>
            <w:r>
              <w:rPr>
                <w:sz w:val="20"/>
              </w:rPr>
              <w:t>Vereinbarungen behandeln die sichere Übertragung von Geschäftsinformation zwischen der Organisation und externen Parteien.</w:t>
            </w:r>
          </w:p>
        </w:tc>
      </w:tr>
      <w:tr>
        <w:trPr>
          <w:trHeight w:val="870" w:hRule="atLeast"/>
        </w:trPr>
        <w:tc>
          <w:tcPr>
            <w:tcW w:w="962" w:type="dxa"/>
            <w:tcBorders>
              <w:left w:val="single" w:sz="12" w:space="0" w:color="000000"/>
            </w:tcBorders>
          </w:tcPr>
          <w:p>
            <w:pPr>
              <w:pStyle w:val="TableParagraph"/>
              <w:ind w:left="109"/>
              <w:rPr>
                <w:sz w:val="20"/>
              </w:rPr>
            </w:pPr>
            <w:r>
              <w:rPr>
                <w:sz w:val="20"/>
              </w:rPr>
              <w:t>A.13.2.3</w:t>
            </w:r>
          </w:p>
        </w:tc>
        <w:tc>
          <w:tcPr>
            <w:tcW w:w="3595" w:type="dxa"/>
          </w:tcPr>
          <w:p>
            <w:pPr>
              <w:pStyle w:val="TableParagraph"/>
              <w:ind w:left="117" w:right="765"/>
              <w:rPr>
                <w:sz w:val="20"/>
              </w:rPr>
            </w:pPr>
            <w:r>
              <w:rPr>
                <w:sz w:val="20"/>
              </w:rPr>
              <w:t>Elektronische </w:t>
            </w:r>
            <w:r>
              <w:rPr>
                <w:w w:val="95"/>
                <w:sz w:val="20"/>
              </w:rPr>
              <w:t>Nachrichtenübermittlung</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tabs>
                <w:tab w:pos="1907" w:val="left" w:leader="none"/>
                <w:tab w:pos="2860" w:val="left" w:leader="none"/>
                <w:tab w:pos="3942" w:val="left" w:leader="none"/>
              </w:tabs>
              <w:spacing w:before="63"/>
              <w:ind w:right="75"/>
              <w:rPr>
                <w:sz w:val="20"/>
              </w:rPr>
            </w:pPr>
            <w:r>
              <w:rPr>
                <w:sz w:val="20"/>
              </w:rPr>
              <w:t>Information</w:t>
              <w:tab/>
              <w:t>in</w:t>
              <w:tab/>
              <w:t>der</w:t>
              <w:tab/>
              <w:t>elektronischen Nachrichtenübermittlung ist angemessen</w:t>
            </w:r>
            <w:r>
              <w:rPr>
                <w:spacing w:val="-6"/>
                <w:sz w:val="20"/>
              </w:rPr>
              <w:t> </w:t>
            </w:r>
            <w:r>
              <w:rPr>
                <w:sz w:val="20"/>
              </w:rPr>
              <w:t>geschützt.</w:t>
            </w:r>
          </w:p>
        </w:tc>
      </w:tr>
      <w:tr>
        <w:trPr>
          <w:trHeight w:val="1559" w:hRule="atLeast"/>
        </w:trPr>
        <w:tc>
          <w:tcPr>
            <w:tcW w:w="962" w:type="dxa"/>
            <w:tcBorders>
              <w:left w:val="single" w:sz="12" w:space="0" w:color="000000"/>
            </w:tcBorders>
          </w:tcPr>
          <w:p>
            <w:pPr>
              <w:pStyle w:val="TableParagraph"/>
              <w:ind w:left="109"/>
              <w:rPr>
                <w:sz w:val="20"/>
              </w:rPr>
            </w:pPr>
            <w:r>
              <w:rPr>
                <w:sz w:val="20"/>
              </w:rPr>
              <w:t>A.13.2.4</w:t>
            </w:r>
          </w:p>
        </w:tc>
        <w:tc>
          <w:tcPr>
            <w:tcW w:w="3595" w:type="dxa"/>
          </w:tcPr>
          <w:p>
            <w:pPr>
              <w:pStyle w:val="TableParagraph"/>
              <w:ind w:left="117"/>
              <w:rPr>
                <w:sz w:val="20"/>
              </w:rPr>
            </w:pPr>
            <w:r>
              <w:rPr>
                <w:sz w:val="20"/>
              </w:rPr>
              <w:t>Vertraulichkeits- oder </w:t>
            </w:r>
            <w:r>
              <w:rPr>
                <w:w w:val="95"/>
                <w:sz w:val="20"/>
              </w:rPr>
              <w:t>Geheimhaltungsvereinbarungen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tabs>
                <w:tab w:pos="3680" w:val="left" w:leader="none"/>
                <w:tab w:pos="4964" w:val="left" w:leader="none"/>
              </w:tabs>
              <w:spacing w:before="63"/>
              <w:ind w:right="78"/>
              <w:jc w:val="both"/>
              <w:rPr>
                <w:sz w:val="20"/>
              </w:rPr>
            </w:pPr>
            <w:r>
              <w:rPr>
                <w:sz w:val="20"/>
              </w:rPr>
              <w:t>Anforderungen an Vertraulichkeits- oder Geheimhaltungsvereinbarungen,</w:t>
              <w:tab/>
              <w:t>welche</w:t>
              <w:tab/>
            </w:r>
            <w:r>
              <w:rPr>
                <w:spacing w:val="-6"/>
                <w:sz w:val="20"/>
              </w:rPr>
              <w:t>die </w:t>
            </w:r>
            <w:r>
              <w:rPr>
                <w:sz w:val="20"/>
              </w:rPr>
              <w:t>Erfordernisse der Organisation an den Schutz von Information widerspiegeln, werden identifiziert, regelmäßig überprüft und sind</w:t>
            </w:r>
            <w:r>
              <w:rPr>
                <w:spacing w:val="-7"/>
                <w:sz w:val="20"/>
              </w:rPr>
              <w:t> </w:t>
            </w:r>
            <w:r>
              <w:rPr>
                <w:sz w:val="20"/>
              </w:rPr>
              <w:t>dokumentiert.</w:t>
            </w:r>
          </w:p>
        </w:tc>
      </w:tr>
      <w:tr>
        <w:trPr>
          <w:trHeight w:val="349" w:hRule="atLeast"/>
        </w:trPr>
        <w:tc>
          <w:tcPr>
            <w:tcW w:w="9890" w:type="dxa"/>
            <w:gridSpan w:val="3"/>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A.14</w:t>
              <w:tab/>
              <w:t>Anschaffung, Entwicklung und Instandhalten von</w:t>
            </w:r>
            <w:r>
              <w:rPr>
                <w:b/>
                <w:spacing w:val="-3"/>
                <w:sz w:val="20"/>
              </w:rPr>
              <w:t> </w:t>
            </w:r>
            <w:r>
              <w:rPr>
                <w:b/>
                <w:sz w:val="20"/>
              </w:rPr>
              <w:t>Systemen</w:t>
            </w:r>
          </w:p>
        </w:tc>
      </w:tr>
      <w:tr>
        <w:trPr>
          <w:trHeight w:val="1101" w:hRule="atLeast"/>
        </w:trPr>
        <w:tc>
          <w:tcPr>
            <w:tcW w:w="9890" w:type="dxa"/>
            <w:gridSpan w:val="3"/>
            <w:tcBorders>
              <w:left w:val="single" w:sz="12" w:space="0" w:color="000000"/>
              <w:right w:val="single" w:sz="12" w:space="0" w:color="000000"/>
            </w:tcBorders>
          </w:tcPr>
          <w:p>
            <w:pPr>
              <w:pStyle w:val="TableParagraph"/>
              <w:ind w:left="109"/>
              <w:jc w:val="both"/>
              <w:rPr>
                <w:b/>
                <w:sz w:val="20"/>
              </w:rPr>
            </w:pPr>
            <w:r>
              <w:rPr>
                <w:b/>
                <w:sz w:val="20"/>
              </w:rPr>
              <w:t>A.14.1 Sicherheitsanforderungen an Informationssysteme</w:t>
            </w:r>
          </w:p>
          <w:p>
            <w:pPr>
              <w:pStyle w:val="TableParagraph"/>
              <w:spacing w:before="60"/>
              <w:ind w:left="109" w:right="78"/>
              <w:jc w:val="both"/>
              <w:rPr>
                <w:sz w:val="20"/>
              </w:rPr>
            </w:pPr>
            <w:r>
              <w:rPr>
                <w:sz w:val="20"/>
              </w:rPr>
              <w:t>Ziel: Es ist sichergestellt, dass Informationssicherheit ein fester Bestandteil über den gesamten Lebenszyklus von Informationssystemen ist. Dies beinhaltet auch die Anforderungen an Informationssysteme, die Dienste über öffentliche Netze bereitstellen.</w:t>
            </w:r>
          </w:p>
        </w:tc>
      </w:tr>
      <w:tr>
        <w:trPr>
          <w:trHeight w:val="1328" w:hRule="atLeast"/>
        </w:trPr>
        <w:tc>
          <w:tcPr>
            <w:tcW w:w="962" w:type="dxa"/>
            <w:tcBorders>
              <w:left w:val="single" w:sz="12" w:space="0" w:color="000000"/>
            </w:tcBorders>
          </w:tcPr>
          <w:p>
            <w:pPr>
              <w:pStyle w:val="TableParagraph"/>
              <w:ind w:left="109"/>
              <w:rPr>
                <w:sz w:val="20"/>
              </w:rPr>
            </w:pPr>
            <w:r>
              <w:rPr>
                <w:sz w:val="20"/>
              </w:rPr>
              <w:t>A.14.1.1</w:t>
            </w:r>
          </w:p>
        </w:tc>
        <w:tc>
          <w:tcPr>
            <w:tcW w:w="3595" w:type="dxa"/>
          </w:tcPr>
          <w:p>
            <w:pPr>
              <w:pStyle w:val="TableParagraph"/>
              <w:ind w:left="117"/>
              <w:rPr>
                <w:sz w:val="20"/>
              </w:rPr>
            </w:pPr>
            <w:r>
              <w:rPr>
                <w:sz w:val="20"/>
              </w:rPr>
              <w:t>Analyse und Spezifikation von </w:t>
            </w:r>
            <w:r>
              <w:rPr>
                <w:w w:val="95"/>
                <w:sz w:val="20"/>
              </w:rPr>
              <w:t>Informationssicherheitsanforderungen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7"/>
              <w:jc w:val="both"/>
              <w:rPr>
                <w:sz w:val="20"/>
              </w:rPr>
            </w:pPr>
            <w:r>
              <w:rPr>
                <w:sz w:val="20"/>
              </w:rPr>
              <w:t>Die Anforderungen, die sich auf Informationssicherheit beziehen, sind in die Anforderungen an neue Informationssysteme oder die Verbesserungen bestehender Informationssysteme aufgenommen.</w:t>
            </w:r>
          </w:p>
        </w:tc>
      </w:tr>
      <w:tr>
        <w:trPr>
          <w:trHeight w:val="1331" w:hRule="atLeast"/>
        </w:trPr>
        <w:tc>
          <w:tcPr>
            <w:tcW w:w="962" w:type="dxa"/>
            <w:tcBorders>
              <w:left w:val="single" w:sz="12" w:space="0" w:color="000000"/>
            </w:tcBorders>
          </w:tcPr>
          <w:p>
            <w:pPr>
              <w:pStyle w:val="TableParagraph"/>
              <w:spacing w:before="59"/>
              <w:ind w:left="109"/>
              <w:rPr>
                <w:sz w:val="20"/>
              </w:rPr>
            </w:pPr>
            <w:r>
              <w:rPr>
                <w:sz w:val="20"/>
              </w:rPr>
              <w:t>A.14.1.2</w:t>
            </w:r>
          </w:p>
        </w:tc>
        <w:tc>
          <w:tcPr>
            <w:tcW w:w="3595" w:type="dxa"/>
          </w:tcPr>
          <w:p>
            <w:pPr>
              <w:pStyle w:val="TableParagraph"/>
              <w:spacing w:before="59"/>
              <w:ind w:left="117" w:right="196"/>
              <w:rPr>
                <w:sz w:val="20"/>
              </w:rPr>
            </w:pPr>
            <w:r>
              <w:rPr>
                <w:sz w:val="20"/>
              </w:rPr>
              <w:t>Sicherung von Anwendungsdiensten in öffentlichen Netzwerken</w:t>
            </w:r>
          </w:p>
        </w:tc>
        <w:tc>
          <w:tcPr>
            <w:tcW w:w="5333" w:type="dxa"/>
            <w:tcBorders>
              <w:right w:val="single" w:sz="12" w:space="0" w:color="000000"/>
            </w:tcBorders>
          </w:tcPr>
          <w:p>
            <w:pPr>
              <w:pStyle w:val="TableParagraph"/>
              <w:rPr>
                <w:i/>
                <w:sz w:val="20"/>
              </w:rPr>
            </w:pPr>
            <w:r>
              <w:rPr>
                <w:i/>
                <w:sz w:val="20"/>
              </w:rPr>
              <w:t>Maßnahme</w:t>
            </w:r>
          </w:p>
          <w:p>
            <w:pPr>
              <w:pStyle w:val="TableParagraph"/>
              <w:spacing w:before="60"/>
              <w:ind w:right="77"/>
              <w:jc w:val="both"/>
              <w:rPr>
                <w:sz w:val="20"/>
              </w:rPr>
            </w:pPr>
            <w:r>
              <w:rPr>
                <w:sz w:val="20"/>
              </w:rPr>
              <w:t>Information, die durch Anwendungsdiensten über öffentliche Netzwerke übertragen wird, ist vor betrügerischer Tätigkeit, Vertragsstreitigkeiten und unbefugter Offenlegung sowie Veränderung geschützt.</w:t>
            </w:r>
          </w:p>
        </w:tc>
      </w:tr>
      <w:tr>
        <w:trPr>
          <w:trHeight w:val="1559" w:hRule="atLeast"/>
        </w:trPr>
        <w:tc>
          <w:tcPr>
            <w:tcW w:w="962" w:type="dxa"/>
            <w:tcBorders>
              <w:left w:val="single" w:sz="12" w:space="0" w:color="000000"/>
            </w:tcBorders>
          </w:tcPr>
          <w:p>
            <w:pPr>
              <w:pStyle w:val="TableParagraph"/>
              <w:ind w:left="109"/>
              <w:rPr>
                <w:sz w:val="20"/>
              </w:rPr>
            </w:pPr>
            <w:r>
              <w:rPr>
                <w:sz w:val="20"/>
              </w:rPr>
              <w:t>A.14.1.3</w:t>
            </w:r>
          </w:p>
        </w:tc>
        <w:tc>
          <w:tcPr>
            <w:tcW w:w="3595" w:type="dxa"/>
          </w:tcPr>
          <w:p>
            <w:pPr>
              <w:pStyle w:val="TableParagraph"/>
              <w:ind w:left="117" w:right="841"/>
              <w:rPr>
                <w:sz w:val="20"/>
              </w:rPr>
            </w:pPr>
            <w:r>
              <w:rPr>
                <w:sz w:val="20"/>
              </w:rPr>
              <w:t>Schutz der Transaktionen bei Anwendungsdiensten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7"/>
              <w:jc w:val="both"/>
              <w:rPr>
                <w:sz w:val="20"/>
              </w:rPr>
            </w:pPr>
            <w:r>
              <w:rPr>
                <w:sz w:val="20"/>
              </w:rPr>
              <w:t>Information, die an Transaktionen bei Anwendungsdiensten beteiligt ist, ist so geschützt, dass unvollständige Übertragung, Fehlleitung, unbefugte Offenlegung, unbefugte Vervielfältigung oder unbefugte Wiederholung von Nachrichten verhindert ist.</w:t>
            </w:r>
          </w:p>
        </w:tc>
      </w:tr>
    </w:tbl>
    <w:p>
      <w:pPr>
        <w:spacing w:after="0"/>
        <w:jc w:val="both"/>
        <w:rPr>
          <w:sz w:val="20"/>
        </w:rPr>
        <w:sectPr>
          <w:pgSz w:w="11910" w:h="16840"/>
          <w:pgMar w:header="710" w:footer="120" w:top="1540" w:bottom="320" w:left="260" w:right="540"/>
        </w:sectPr>
      </w:pPr>
    </w:p>
    <w:p>
      <w:pPr>
        <w:pStyle w:val="BodyText"/>
        <w:spacing w:before="8"/>
        <w:rPr>
          <w:sz w:val="8"/>
        </w:rPr>
      </w:pPr>
      <w:r>
        <w:rPr/>
        <w:pict>
          <v:shape style="position:absolute;margin-left:9.663086pt;margin-top:739.23053pt;width:9.85pt;height:83.7pt;mso-position-horizontal-relative:page;mso-position-vertical-relative:page;z-index:251686912"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p>
    <w:tbl>
      <w:tblPr>
        <w:tblW w:w="0" w:type="auto"/>
        <w:jc w:val="left"/>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
        <w:gridCol w:w="3595"/>
        <w:gridCol w:w="5333"/>
      </w:tblGrid>
      <w:tr>
        <w:trPr>
          <w:trHeight w:val="870" w:hRule="atLeast"/>
        </w:trPr>
        <w:tc>
          <w:tcPr>
            <w:tcW w:w="9890" w:type="dxa"/>
            <w:gridSpan w:val="3"/>
            <w:tcBorders>
              <w:left w:val="single" w:sz="12" w:space="0" w:color="000000"/>
              <w:right w:val="single" w:sz="12" w:space="0" w:color="000000"/>
            </w:tcBorders>
          </w:tcPr>
          <w:p>
            <w:pPr>
              <w:pStyle w:val="TableParagraph"/>
              <w:tabs>
                <w:tab w:pos="906" w:val="left" w:leader="none"/>
              </w:tabs>
              <w:spacing w:before="54"/>
              <w:ind w:left="107"/>
              <w:rPr>
                <w:b/>
                <w:sz w:val="20"/>
              </w:rPr>
            </w:pPr>
            <w:r>
              <w:rPr>
                <w:b/>
                <w:sz w:val="20"/>
              </w:rPr>
              <w:t>A.14.2</w:t>
              <w:tab/>
              <w:t>Sicherheit in Entwicklungs- und</w:t>
            </w:r>
            <w:r>
              <w:rPr>
                <w:b/>
                <w:spacing w:val="-1"/>
                <w:sz w:val="20"/>
              </w:rPr>
              <w:t> </w:t>
            </w:r>
            <w:r>
              <w:rPr>
                <w:b/>
                <w:sz w:val="20"/>
              </w:rPr>
              <w:t>Unterstützungsprozessen</w:t>
            </w:r>
          </w:p>
          <w:p>
            <w:pPr>
              <w:pStyle w:val="TableParagraph"/>
              <w:spacing w:before="63"/>
              <w:ind w:left="107"/>
              <w:rPr>
                <w:sz w:val="20"/>
              </w:rPr>
            </w:pPr>
            <w:r>
              <w:rPr>
                <w:sz w:val="20"/>
              </w:rPr>
              <w:t>Ziel: Es ist sichergestellt, dass Informationssicherheit im Entwicklungszyklus von Informationssystemen geplant und umgesetzt ist.</w:t>
            </w:r>
          </w:p>
        </w:tc>
      </w:tr>
      <w:tr>
        <w:trPr>
          <w:trHeight w:val="1098" w:hRule="atLeast"/>
        </w:trPr>
        <w:tc>
          <w:tcPr>
            <w:tcW w:w="962" w:type="dxa"/>
            <w:tcBorders>
              <w:left w:val="single" w:sz="12" w:space="0" w:color="000000"/>
              <w:bottom w:val="single" w:sz="4" w:space="0" w:color="000000"/>
            </w:tcBorders>
          </w:tcPr>
          <w:p>
            <w:pPr>
              <w:pStyle w:val="TableParagraph"/>
              <w:ind w:left="0" w:right="88"/>
              <w:jc w:val="right"/>
              <w:rPr>
                <w:sz w:val="20"/>
              </w:rPr>
            </w:pPr>
            <w:r>
              <w:rPr>
                <w:w w:val="95"/>
                <w:sz w:val="20"/>
              </w:rPr>
              <w:t>A.14.2.1</w:t>
            </w:r>
          </w:p>
        </w:tc>
        <w:tc>
          <w:tcPr>
            <w:tcW w:w="3595" w:type="dxa"/>
            <w:tcBorders>
              <w:bottom w:val="single" w:sz="4" w:space="0" w:color="000000"/>
            </w:tcBorders>
          </w:tcPr>
          <w:p>
            <w:pPr>
              <w:pStyle w:val="TableParagraph"/>
              <w:rPr>
                <w:sz w:val="20"/>
              </w:rPr>
            </w:pPr>
            <w:r>
              <w:rPr>
                <w:sz w:val="20"/>
              </w:rPr>
              <w:t>Richtlinie für sichere Entwicklung</w:t>
            </w:r>
          </w:p>
        </w:tc>
        <w:tc>
          <w:tcPr>
            <w:tcW w:w="5333" w:type="dxa"/>
            <w:tcBorders>
              <w:bottom w:val="single" w:sz="4" w:space="0" w:color="000000"/>
              <w:right w:val="single" w:sz="12" w:space="0" w:color="000000"/>
            </w:tcBorders>
          </w:tcPr>
          <w:p>
            <w:pPr>
              <w:pStyle w:val="TableParagraph"/>
              <w:spacing w:before="54"/>
              <w:rPr>
                <w:i/>
                <w:sz w:val="20"/>
              </w:rPr>
            </w:pPr>
            <w:r>
              <w:rPr>
                <w:i/>
                <w:sz w:val="20"/>
              </w:rPr>
              <w:t>Maßnahme</w:t>
            </w:r>
          </w:p>
          <w:p>
            <w:pPr>
              <w:pStyle w:val="TableParagraph"/>
              <w:spacing w:before="63"/>
              <w:ind w:right="77"/>
              <w:jc w:val="both"/>
              <w:rPr>
                <w:sz w:val="20"/>
              </w:rPr>
            </w:pPr>
            <w:r>
              <w:rPr>
                <w:sz w:val="20"/>
              </w:rPr>
              <w:t>Regeln für die Entwicklung von Software und Systemen sind festgelegt und werden bei Entwicklungen innerhalb der Organisation angewendet.</w:t>
            </w:r>
          </w:p>
        </w:tc>
      </w:tr>
      <w:tr>
        <w:trPr>
          <w:trHeight w:val="1101" w:hRule="atLeast"/>
        </w:trPr>
        <w:tc>
          <w:tcPr>
            <w:tcW w:w="962" w:type="dxa"/>
            <w:tcBorders>
              <w:top w:val="single" w:sz="4" w:space="0" w:color="000000"/>
              <w:left w:val="single" w:sz="12" w:space="0" w:color="000000"/>
            </w:tcBorders>
          </w:tcPr>
          <w:p>
            <w:pPr>
              <w:pStyle w:val="TableParagraph"/>
              <w:ind w:left="0" w:right="88"/>
              <w:jc w:val="right"/>
              <w:rPr>
                <w:sz w:val="20"/>
              </w:rPr>
            </w:pPr>
            <w:r>
              <w:rPr>
                <w:w w:val="95"/>
                <w:sz w:val="20"/>
              </w:rPr>
              <w:t>A.14.2.2</w:t>
            </w:r>
          </w:p>
        </w:tc>
        <w:tc>
          <w:tcPr>
            <w:tcW w:w="3595" w:type="dxa"/>
            <w:tcBorders>
              <w:top w:val="single" w:sz="4" w:space="0" w:color="000000"/>
            </w:tcBorders>
          </w:tcPr>
          <w:p>
            <w:pPr>
              <w:pStyle w:val="TableParagraph"/>
              <w:ind w:right="799"/>
              <w:rPr>
                <w:sz w:val="20"/>
              </w:rPr>
            </w:pPr>
            <w:r>
              <w:rPr>
                <w:sz w:val="20"/>
              </w:rPr>
              <w:t>Verfahren zur Verwaltung von Systemänderungen</w:t>
            </w:r>
          </w:p>
        </w:tc>
        <w:tc>
          <w:tcPr>
            <w:tcW w:w="5333" w:type="dxa"/>
            <w:tcBorders>
              <w:top w:val="single" w:sz="4" w:space="0" w:color="000000"/>
              <w:right w:val="single" w:sz="12" w:space="0" w:color="000000"/>
            </w:tcBorders>
          </w:tcPr>
          <w:p>
            <w:pPr>
              <w:pStyle w:val="TableParagraph"/>
              <w:spacing w:before="54"/>
              <w:rPr>
                <w:i/>
                <w:sz w:val="20"/>
              </w:rPr>
            </w:pPr>
            <w:r>
              <w:rPr>
                <w:i/>
                <w:sz w:val="20"/>
              </w:rPr>
              <w:t>Maßnahme</w:t>
            </w:r>
          </w:p>
          <w:p>
            <w:pPr>
              <w:pStyle w:val="TableParagraph"/>
              <w:spacing w:before="63"/>
              <w:ind w:right="79"/>
              <w:jc w:val="both"/>
              <w:rPr>
                <w:sz w:val="20"/>
              </w:rPr>
            </w:pPr>
            <w:r>
              <w:rPr>
                <w:sz w:val="20"/>
              </w:rPr>
              <w:t>Änderungen an Systemen innerhalb des Entwicklungszyklus werden durch formale Verfahren zur Verwaltung von Änderungen gesteuert.</w:t>
            </w:r>
          </w:p>
        </w:tc>
      </w:tr>
      <w:tr>
        <w:trPr>
          <w:trHeight w:val="1559" w:hRule="atLeast"/>
        </w:trPr>
        <w:tc>
          <w:tcPr>
            <w:tcW w:w="962" w:type="dxa"/>
            <w:tcBorders>
              <w:left w:val="single" w:sz="12" w:space="0" w:color="000000"/>
            </w:tcBorders>
          </w:tcPr>
          <w:p>
            <w:pPr>
              <w:pStyle w:val="TableParagraph"/>
              <w:ind w:left="0" w:right="88"/>
              <w:jc w:val="right"/>
              <w:rPr>
                <w:sz w:val="20"/>
              </w:rPr>
            </w:pPr>
            <w:r>
              <w:rPr>
                <w:w w:val="95"/>
                <w:sz w:val="20"/>
              </w:rPr>
              <w:t>A.14.2.3</w:t>
            </w:r>
          </w:p>
        </w:tc>
        <w:tc>
          <w:tcPr>
            <w:tcW w:w="3595" w:type="dxa"/>
          </w:tcPr>
          <w:p>
            <w:pPr>
              <w:pStyle w:val="TableParagraph"/>
              <w:ind w:right="253"/>
              <w:rPr>
                <w:sz w:val="20"/>
              </w:rPr>
            </w:pPr>
            <w:r>
              <w:rPr>
                <w:sz w:val="20"/>
              </w:rPr>
              <w:t>Technische Überprüfung von Anwendungen nach Änderungen an der Betriebsplattform</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6"/>
              <w:jc w:val="both"/>
              <w:rPr>
                <w:sz w:val="20"/>
              </w:rPr>
            </w:pPr>
            <w:r>
              <w:rPr>
                <w:sz w:val="20"/>
              </w:rPr>
              <w:t>Bei Änderungen an Betriebsplattformen, werden geschäftskritische Anwendungen überprüft und getestet, um sicherzustellen, dass es keine negativen Auswirkungen auf die Organisationstätigkeiten oder Organisationssicherheit gibt.</w:t>
            </w:r>
          </w:p>
        </w:tc>
      </w:tr>
      <w:tr>
        <w:trPr>
          <w:trHeight w:val="1101" w:hRule="atLeast"/>
        </w:trPr>
        <w:tc>
          <w:tcPr>
            <w:tcW w:w="962" w:type="dxa"/>
            <w:tcBorders>
              <w:left w:val="single" w:sz="12" w:space="0" w:color="000000"/>
            </w:tcBorders>
          </w:tcPr>
          <w:p>
            <w:pPr>
              <w:pStyle w:val="TableParagraph"/>
              <w:ind w:left="0" w:right="88"/>
              <w:jc w:val="right"/>
              <w:rPr>
                <w:sz w:val="20"/>
              </w:rPr>
            </w:pPr>
            <w:r>
              <w:rPr>
                <w:w w:val="95"/>
                <w:sz w:val="20"/>
              </w:rPr>
              <w:t>A.14.2.4</w:t>
            </w:r>
          </w:p>
        </w:tc>
        <w:tc>
          <w:tcPr>
            <w:tcW w:w="3595" w:type="dxa"/>
          </w:tcPr>
          <w:p>
            <w:pPr>
              <w:pStyle w:val="TableParagraph"/>
              <w:rPr>
                <w:sz w:val="20"/>
              </w:rPr>
            </w:pPr>
            <w:r>
              <w:rPr>
                <w:sz w:val="20"/>
              </w:rPr>
              <w:t>Beschränkung von Änderungen an Softwarepaketen</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5"/>
              <w:jc w:val="both"/>
              <w:rPr>
                <w:sz w:val="20"/>
              </w:rPr>
            </w:pPr>
            <w:r>
              <w:rPr>
                <w:sz w:val="20"/>
              </w:rPr>
              <w:t>Änderungen an Softwarepaketen werden nicht gefördert, sind auf das Erforderliche beschränkt und alle Änderungen unterliegen einer strikten Steuerung.</w:t>
            </w:r>
          </w:p>
        </w:tc>
      </w:tr>
      <w:tr>
        <w:trPr>
          <w:trHeight w:val="1328" w:hRule="atLeast"/>
        </w:trPr>
        <w:tc>
          <w:tcPr>
            <w:tcW w:w="962" w:type="dxa"/>
            <w:tcBorders>
              <w:left w:val="single" w:sz="12" w:space="0" w:color="000000"/>
            </w:tcBorders>
          </w:tcPr>
          <w:p>
            <w:pPr>
              <w:pStyle w:val="TableParagraph"/>
              <w:ind w:left="0" w:right="88"/>
              <w:jc w:val="right"/>
              <w:rPr>
                <w:sz w:val="20"/>
              </w:rPr>
            </w:pPr>
            <w:r>
              <w:rPr>
                <w:w w:val="95"/>
                <w:sz w:val="20"/>
              </w:rPr>
              <w:t>A.14.2.5</w:t>
            </w:r>
          </w:p>
        </w:tc>
        <w:tc>
          <w:tcPr>
            <w:tcW w:w="3595" w:type="dxa"/>
          </w:tcPr>
          <w:p>
            <w:pPr>
              <w:pStyle w:val="TableParagraph"/>
              <w:rPr>
                <w:sz w:val="20"/>
              </w:rPr>
            </w:pPr>
            <w:r>
              <w:rPr>
                <w:sz w:val="20"/>
              </w:rPr>
              <w:t>Grundsätze für die Analyse, Entwicklung und Pflege sicherer Systeme</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left="114" w:right="79"/>
              <w:jc w:val="both"/>
              <w:rPr>
                <w:sz w:val="20"/>
              </w:rPr>
            </w:pPr>
            <w:r>
              <w:rPr>
                <w:sz w:val="20"/>
              </w:rPr>
              <w:t>Grundsätze für die Analyse, Entwicklung und Pflege sicherer Systeme sind festgelegt, dokumentiert, werden aktuell gehalten und bei jedem Umsetzungsvorhaben eines Informationssystems angewendet.</w:t>
            </w:r>
          </w:p>
        </w:tc>
      </w:tr>
      <w:tr>
        <w:trPr>
          <w:trHeight w:val="1328" w:hRule="atLeast"/>
        </w:trPr>
        <w:tc>
          <w:tcPr>
            <w:tcW w:w="962" w:type="dxa"/>
            <w:tcBorders>
              <w:left w:val="single" w:sz="12" w:space="0" w:color="000000"/>
            </w:tcBorders>
          </w:tcPr>
          <w:p>
            <w:pPr>
              <w:pStyle w:val="TableParagraph"/>
              <w:ind w:left="0" w:right="88"/>
              <w:jc w:val="right"/>
              <w:rPr>
                <w:sz w:val="20"/>
              </w:rPr>
            </w:pPr>
            <w:r>
              <w:rPr>
                <w:w w:val="95"/>
                <w:sz w:val="20"/>
              </w:rPr>
              <w:t>A.14.2.6</w:t>
            </w:r>
          </w:p>
        </w:tc>
        <w:tc>
          <w:tcPr>
            <w:tcW w:w="3595" w:type="dxa"/>
          </w:tcPr>
          <w:p>
            <w:pPr>
              <w:pStyle w:val="TableParagraph"/>
              <w:rPr>
                <w:sz w:val="20"/>
              </w:rPr>
            </w:pPr>
            <w:r>
              <w:rPr>
                <w:sz w:val="20"/>
              </w:rPr>
              <w:t>Sichere Entwicklungsumgebung</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6"/>
              <w:jc w:val="both"/>
              <w:rPr>
                <w:sz w:val="20"/>
              </w:rPr>
            </w:pPr>
            <w:r>
              <w:rPr>
                <w:sz w:val="20"/>
              </w:rPr>
              <w:t>Organisationen schaffen sichere Entwicklungs- umgebungen für Systementwicklungs- und Systemintegrationsvorhaben über den gesamten Entwicklungszyklus und schützen diese angemessen.</w:t>
            </w:r>
          </w:p>
        </w:tc>
      </w:tr>
      <w:tr>
        <w:trPr>
          <w:trHeight w:val="870" w:hRule="atLeast"/>
        </w:trPr>
        <w:tc>
          <w:tcPr>
            <w:tcW w:w="962" w:type="dxa"/>
            <w:tcBorders>
              <w:left w:val="single" w:sz="12" w:space="0" w:color="000000"/>
            </w:tcBorders>
          </w:tcPr>
          <w:p>
            <w:pPr>
              <w:pStyle w:val="TableParagraph"/>
              <w:spacing w:before="59"/>
              <w:ind w:left="0" w:right="88"/>
              <w:jc w:val="right"/>
              <w:rPr>
                <w:sz w:val="20"/>
              </w:rPr>
            </w:pPr>
            <w:r>
              <w:rPr>
                <w:w w:val="95"/>
                <w:sz w:val="20"/>
              </w:rPr>
              <w:t>A.14.2.7</w:t>
            </w:r>
          </w:p>
        </w:tc>
        <w:tc>
          <w:tcPr>
            <w:tcW w:w="3595" w:type="dxa"/>
          </w:tcPr>
          <w:p>
            <w:pPr>
              <w:pStyle w:val="TableParagraph"/>
              <w:spacing w:before="59"/>
              <w:rPr>
                <w:sz w:val="20"/>
              </w:rPr>
            </w:pPr>
            <w:r>
              <w:rPr>
                <w:sz w:val="20"/>
              </w:rPr>
              <w:t>Ausgegliederte Entwicklung</w:t>
            </w:r>
          </w:p>
        </w:tc>
        <w:tc>
          <w:tcPr>
            <w:tcW w:w="5333" w:type="dxa"/>
            <w:tcBorders>
              <w:right w:val="single" w:sz="12" w:space="0" w:color="000000"/>
            </w:tcBorders>
          </w:tcPr>
          <w:p>
            <w:pPr>
              <w:pStyle w:val="TableParagraph"/>
              <w:rPr>
                <w:i/>
                <w:sz w:val="20"/>
              </w:rPr>
            </w:pPr>
            <w:r>
              <w:rPr>
                <w:i/>
                <w:sz w:val="20"/>
              </w:rPr>
              <w:t>Maßnahme</w:t>
            </w:r>
          </w:p>
          <w:p>
            <w:pPr>
              <w:pStyle w:val="TableParagraph"/>
              <w:tabs>
                <w:tab w:pos="619" w:val="left" w:leader="none"/>
                <w:tab w:pos="1962" w:val="left" w:leader="none"/>
                <w:tab w:pos="3291" w:val="left" w:leader="none"/>
                <w:tab w:pos="3834" w:val="left" w:leader="none"/>
                <w:tab w:pos="4963" w:val="left" w:leader="none"/>
              </w:tabs>
              <w:spacing w:before="62"/>
              <w:ind w:right="81"/>
              <w:rPr>
                <w:sz w:val="20"/>
              </w:rPr>
            </w:pPr>
            <w:r>
              <w:rPr>
                <w:sz w:val="20"/>
              </w:rPr>
              <w:t>Die</w:t>
              <w:tab/>
              <w:t>Organisation</w:t>
              <w:tab/>
              <w:t>beaufsichtigt</w:t>
              <w:tab/>
              <w:t>und</w:t>
              <w:tab/>
              <w:t>überwacht</w:t>
              <w:tab/>
            </w:r>
            <w:r>
              <w:rPr>
                <w:spacing w:val="-7"/>
                <w:sz w:val="20"/>
              </w:rPr>
              <w:t>die </w:t>
            </w:r>
            <w:r>
              <w:rPr>
                <w:sz w:val="20"/>
              </w:rPr>
              <w:t>Tätigkeit ausgegliederter</w:t>
            </w:r>
            <w:r>
              <w:rPr>
                <w:spacing w:val="-3"/>
                <w:sz w:val="20"/>
              </w:rPr>
              <w:t> </w:t>
            </w:r>
            <w:r>
              <w:rPr>
                <w:sz w:val="20"/>
              </w:rPr>
              <w:t>Systementwicklung.</w:t>
            </w:r>
          </w:p>
        </w:tc>
      </w:tr>
      <w:tr>
        <w:trPr>
          <w:trHeight w:val="870" w:hRule="atLeast"/>
        </w:trPr>
        <w:tc>
          <w:tcPr>
            <w:tcW w:w="962" w:type="dxa"/>
            <w:tcBorders>
              <w:left w:val="single" w:sz="12" w:space="0" w:color="000000"/>
            </w:tcBorders>
          </w:tcPr>
          <w:p>
            <w:pPr>
              <w:pStyle w:val="TableParagraph"/>
              <w:ind w:left="0" w:right="88"/>
              <w:jc w:val="right"/>
              <w:rPr>
                <w:sz w:val="20"/>
              </w:rPr>
            </w:pPr>
            <w:r>
              <w:rPr>
                <w:w w:val="95"/>
                <w:sz w:val="20"/>
              </w:rPr>
              <w:t>A.14.2.8</w:t>
            </w:r>
          </w:p>
        </w:tc>
        <w:tc>
          <w:tcPr>
            <w:tcW w:w="3595" w:type="dxa"/>
          </w:tcPr>
          <w:p>
            <w:pPr>
              <w:pStyle w:val="TableParagraph"/>
              <w:rPr>
                <w:sz w:val="20"/>
              </w:rPr>
            </w:pPr>
            <w:r>
              <w:rPr>
                <w:sz w:val="20"/>
              </w:rPr>
              <w:t>Testen der Systemsicherheit</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tabs>
                <w:tab w:pos="734" w:val="left" w:leader="none"/>
                <w:tab w:pos="3167" w:val="left" w:leader="none"/>
                <w:tab w:pos="3856" w:val="left" w:leader="none"/>
                <w:tab w:pos="4943" w:val="left" w:leader="none"/>
              </w:tabs>
              <w:spacing w:before="63"/>
              <w:ind w:right="78"/>
              <w:rPr>
                <w:sz w:val="20"/>
              </w:rPr>
            </w:pPr>
            <w:r>
              <w:rPr>
                <w:sz w:val="20"/>
              </w:rPr>
              <w:t>Die</w:t>
              <w:tab/>
              <w:t>Sicherheitsfunktionalität</w:t>
              <w:tab/>
              <w:t>wird</w:t>
              <w:tab/>
              <w:t>während</w:t>
              <w:tab/>
            </w:r>
            <w:r>
              <w:rPr>
                <w:spacing w:val="-7"/>
                <w:sz w:val="20"/>
              </w:rPr>
              <w:t>der </w:t>
            </w:r>
            <w:r>
              <w:rPr>
                <w:sz w:val="20"/>
              </w:rPr>
              <w:t>Entwicklung</w:t>
            </w:r>
            <w:r>
              <w:rPr>
                <w:spacing w:val="-2"/>
                <w:sz w:val="20"/>
              </w:rPr>
              <w:t> </w:t>
            </w:r>
            <w:r>
              <w:rPr>
                <w:sz w:val="20"/>
              </w:rPr>
              <w:t>getestet.</w:t>
            </w:r>
          </w:p>
        </w:tc>
      </w:tr>
      <w:tr>
        <w:trPr>
          <w:trHeight w:val="1101" w:hRule="atLeast"/>
        </w:trPr>
        <w:tc>
          <w:tcPr>
            <w:tcW w:w="962" w:type="dxa"/>
            <w:tcBorders>
              <w:left w:val="single" w:sz="12" w:space="0" w:color="000000"/>
            </w:tcBorders>
          </w:tcPr>
          <w:p>
            <w:pPr>
              <w:pStyle w:val="TableParagraph"/>
              <w:ind w:left="0" w:right="88"/>
              <w:jc w:val="right"/>
              <w:rPr>
                <w:sz w:val="20"/>
              </w:rPr>
            </w:pPr>
            <w:r>
              <w:rPr>
                <w:w w:val="95"/>
                <w:sz w:val="20"/>
              </w:rPr>
              <w:t>A.14.2.9</w:t>
            </w:r>
          </w:p>
        </w:tc>
        <w:tc>
          <w:tcPr>
            <w:tcW w:w="3595" w:type="dxa"/>
          </w:tcPr>
          <w:p>
            <w:pPr>
              <w:pStyle w:val="TableParagraph"/>
              <w:rPr>
                <w:sz w:val="20"/>
              </w:rPr>
            </w:pPr>
            <w:r>
              <w:rPr>
                <w:sz w:val="20"/>
              </w:rPr>
              <w:t>Systemabnahmetest</w:t>
            </w:r>
          </w:p>
        </w:tc>
        <w:tc>
          <w:tcPr>
            <w:tcW w:w="5333" w:type="dxa"/>
            <w:tcBorders>
              <w:right w:val="single" w:sz="12" w:space="0" w:color="000000"/>
            </w:tcBorders>
          </w:tcPr>
          <w:p>
            <w:pPr>
              <w:pStyle w:val="TableParagraph"/>
              <w:spacing w:before="54"/>
              <w:rPr>
                <w:i/>
                <w:sz w:val="20"/>
              </w:rPr>
            </w:pPr>
            <w:r>
              <w:rPr>
                <w:i/>
                <w:sz w:val="20"/>
              </w:rPr>
              <w:t>Maßnahme</w:t>
            </w:r>
          </w:p>
          <w:p>
            <w:pPr>
              <w:pStyle w:val="TableParagraph"/>
              <w:spacing w:before="63"/>
              <w:ind w:right="76"/>
              <w:jc w:val="both"/>
              <w:rPr>
                <w:sz w:val="20"/>
              </w:rPr>
            </w:pPr>
            <w:r>
              <w:rPr>
                <w:sz w:val="20"/>
              </w:rPr>
              <w:t>Für neue Informationssysteme, Aktualisierungen und neue Versionen sind Abnahmetestprogramme und dazugehörige Kriterien festgelegt.</w:t>
            </w:r>
          </w:p>
        </w:tc>
      </w:tr>
      <w:tr>
        <w:trPr>
          <w:trHeight w:val="637" w:hRule="atLeast"/>
        </w:trPr>
        <w:tc>
          <w:tcPr>
            <w:tcW w:w="9890" w:type="dxa"/>
            <w:gridSpan w:val="3"/>
            <w:tcBorders>
              <w:left w:val="single" w:sz="12" w:space="0" w:color="000000"/>
              <w:right w:val="single" w:sz="12" w:space="0" w:color="000000"/>
            </w:tcBorders>
          </w:tcPr>
          <w:p>
            <w:pPr>
              <w:pStyle w:val="TableParagraph"/>
              <w:tabs>
                <w:tab w:pos="906" w:val="left" w:leader="none"/>
              </w:tabs>
              <w:spacing w:before="54"/>
              <w:ind w:left="107"/>
              <w:rPr>
                <w:b/>
                <w:sz w:val="20"/>
              </w:rPr>
            </w:pPr>
            <w:r>
              <w:rPr>
                <w:b/>
                <w:sz w:val="20"/>
              </w:rPr>
              <w:t>A.14.3</w:t>
              <w:tab/>
              <w:t>Testdaten</w:t>
            </w:r>
          </w:p>
          <w:p>
            <w:pPr>
              <w:pStyle w:val="TableParagraph"/>
              <w:spacing w:before="63"/>
              <w:ind w:left="107"/>
              <w:rPr>
                <w:sz w:val="20"/>
              </w:rPr>
            </w:pPr>
            <w:r>
              <w:rPr>
                <w:sz w:val="20"/>
              </w:rPr>
              <w:t>Ziel: Der Schutz von Daten, die für das Testen verwendet werden, ist sichergestellt.</w:t>
            </w:r>
          </w:p>
        </w:tc>
      </w:tr>
      <w:tr>
        <w:trPr>
          <w:trHeight w:val="870" w:hRule="atLeast"/>
        </w:trPr>
        <w:tc>
          <w:tcPr>
            <w:tcW w:w="962" w:type="dxa"/>
            <w:tcBorders>
              <w:left w:val="single" w:sz="12" w:space="0" w:color="000000"/>
            </w:tcBorders>
          </w:tcPr>
          <w:p>
            <w:pPr>
              <w:pStyle w:val="TableParagraph"/>
              <w:spacing w:before="59"/>
              <w:ind w:left="0" w:right="88"/>
              <w:jc w:val="right"/>
              <w:rPr>
                <w:sz w:val="20"/>
              </w:rPr>
            </w:pPr>
            <w:r>
              <w:rPr>
                <w:w w:val="95"/>
                <w:sz w:val="20"/>
              </w:rPr>
              <w:t>A.14.3.1</w:t>
            </w:r>
          </w:p>
        </w:tc>
        <w:tc>
          <w:tcPr>
            <w:tcW w:w="3595" w:type="dxa"/>
          </w:tcPr>
          <w:p>
            <w:pPr>
              <w:pStyle w:val="TableParagraph"/>
              <w:spacing w:before="59"/>
              <w:rPr>
                <w:sz w:val="20"/>
              </w:rPr>
            </w:pPr>
            <w:r>
              <w:rPr>
                <w:sz w:val="20"/>
              </w:rPr>
              <w:t>Schutz von Testdaten</w:t>
            </w:r>
          </w:p>
        </w:tc>
        <w:tc>
          <w:tcPr>
            <w:tcW w:w="5333" w:type="dxa"/>
            <w:tcBorders>
              <w:right w:val="single" w:sz="12" w:space="0" w:color="000000"/>
            </w:tcBorders>
          </w:tcPr>
          <w:p>
            <w:pPr>
              <w:pStyle w:val="TableParagraph"/>
              <w:rPr>
                <w:i/>
                <w:sz w:val="20"/>
              </w:rPr>
            </w:pPr>
            <w:r>
              <w:rPr>
                <w:i/>
                <w:sz w:val="20"/>
              </w:rPr>
              <w:t>Maßnahme</w:t>
            </w:r>
          </w:p>
          <w:p>
            <w:pPr>
              <w:pStyle w:val="TableParagraph"/>
              <w:spacing w:before="62"/>
              <w:rPr>
                <w:sz w:val="20"/>
              </w:rPr>
            </w:pPr>
            <w:r>
              <w:rPr>
                <w:sz w:val="20"/>
              </w:rPr>
              <w:t>Testdaten werden sorgfältig ausgewählt, geschützt und gesteuert.</w:t>
            </w:r>
          </w:p>
        </w:tc>
      </w:tr>
    </w:tbl>
    <w:p>
      <w:pPr>
        <w:spacing w:after="0"/>
        <w:rPr>
          <w:sz w:val="20"/>
        </w:rPr>
        <w:sectPr>
          <w:pgSz w:w="11910" w:h="16840"/>
          <w:pgMar w:header="710" w:footer="120" w:top="1540" w:bottom="320" w:left="260" w:right="540"/>
        </w:sectPr>
      </w:pPr>
    </w:p>
    <w:p>
      <w:pPr>
        <w:pStyle w:val="BodyText"/>
        <w:spacing w:before="8"/>
        <w:rPr>
          <w:sz w:val="8"/>
        </w:rPr>
      </w:pPr>
    </w:p>
    <w:tbl>
      <w:tblPr>
        <w:tblW w:w="0" w:type="auto"/>
        <w:jc w:val="left"/>
        <w:tblInd w:w="1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
        <w:gridCol w:w="3595"/>
        <w:gridCol w:w="228"/>
        <w:gridCol w:w="5105"/>
      </w:tblGrid>
      <w:tr>
        <w:trPr>
          <w:trHeight w:val="371" w:hRule="atLeast"/>
        </w:trPr>
        <w:tc>
          <w:tcPr>
            <w:tcW w:w="9890" w:type="dxa"/>
            <w:gridSpan w:val="4"/>
            <w:tcBorders>
              <w:left w:val="single" w:sz="12" w:space="0" w:color="000000"/>
              <w:right w:val="single" w:sz="12" w:space="0" w:color="000000"/>
            </w:tcBorders>
          </w:tcPr>
          <w:p>
            <w:pPr>
              <w:pStyle w:val="TableParagraph"/>
              <w:tabs>
                <w:tab w:pos="908" w:val="left" w:leader="none"/>
              </w:tabs>
              <w:spacing w:before="56"/>
              <w:ind w:left="109"/>
              <w:rPr>
                <w:b/>
                <w:sz w:val="16"/>
              </w:rPr>
            </w:pPr>
            <w:r>
              <w:rPr>
                <w:b/>
                <w:sz w:val="20"/>
              </w:rPr>
              <w:t>A.15</w:t>
              <w:tab/>
              <w:t>Lieferantenbeziehungen</w:t>
            </w:r>
            <w:hyperlink w:history="true" w:anchor="_bookmark41">
              <w:r>
                <w:rPr>
                  <w:b/>
                  <w:position w:val="6"/>
                  <w:sz w:val="16"/>
                </w:rPr>
                <w:t>N4)</w:t>
              </w:r>
            </w:hyperlink>
          </w:p>
        </w:tc>
      </w:tr>
      <w:tr>
        <w:trPr>
          <w:trHeight w:val="640" w:hRule="atLeast"/>
        </w:trPr>
        <w:tc>
          <w:tcPr>
            <w:tcW w:w="9890" w:type="dxa"/>
            <w:gridSpan w:val="4"/>
            <w:tcBorders>
              <w:left w:val="single" w:sz="12" w:space="0" w:color="000000"/>
              <w:bottom w:val="single" w:sz="4" w:space="0" w:color="000000"/>
              <w:right w:val="single" w:sz="12" w:space="0" w:color="000000"/>
            </w:tcBorders>
          </w:tcPr>
          <w:p>
            <w:pPr>
              <w:pStyle w:val="TableParagraph"/>
              <w:tabs>
                <w:tab w:pos="908" w:val="left" w:leader="none"/>
              </w:tabs>
              <w:ind w:left="109"/>
              <w:rPr>
                <w:b/>
                <w:sz w:val="20"/>
              </w:rPr>
            </w:pPr>
            <w:r>
              <w:rPr>
                <w:b/>
                <w:sz w:val="20"/>
              </w:rPr>
              <w:t>A.15.1</w:t>
              <w:tab/>
              <w:t>Informationssicherheit in</w:t>
            </w:r>
            <w:r>
              <w:rPr>
                <w:b/>
                <w:spacing w:val="1"/>
                <w:sz w:val="20"/>
              </w:rPr>
              <w:t> </w:t>
            </w:r>
            <w:r>
              <w:rPr>
                <w:b/>
                <w:sz w:val="20"/>
              </w:rPr>
              <w:t>Lieferantenbeziehungen</w:t>
            </w:r>
          </w:p>
          <w:p>
            <w:pPr>
              <w:pStyle w:val="TableParagraph"/>
              <w:spacing w:before="62"/>
              <w:ind w:left="109"/>
              <w:rPr>
                <w:sz w:val="20"/>
              </w:rPr>
            </w:pPr>
            <w:r>
              <w:rPr>
                <w:sz w:val="20"/>
              </w:rPr>
              <w:t>Ziel: Für Lieferanten zugängliche Werte des Unternehmens sind geschützt.</w:t>
            </w:r>
          </w:p>
        </w:tc>
      </w:tr>
      <w:tr>
        <w:trPr>
          <w:trHeight w:val="1561" w:hRule="atLeast"/>
        </w:trPr>
        <w:tc>
          <w:tcPr>
            <w:tcW w:w="962" w:type="dxa"/>
            <w:tcBorders>
              <w:top w:val="single" w:sz="4" w:space="0" w:color="000000"/>
              <w:left w:val="single" w:sz="12" w:space="0" w:color="000000"/>
            </w:tcBorders>
          </w:tcPr>
          <w:p>
            <w:pPr>
              <w:pStyle w:val="TableParagraph"/>
              <w:spacing w:before="59"/>
              <w:ind w:left="109"/>
              <w:rPr>
                <w:sz w:val="20"/>
              </w:rPr>
            </w:pPr>
            <w:r>
              <w:rPr>
                <w:sz w:val="20"/>
              </w:rPr>
              <w:t>A.15.1.1</w:t>
            </w:r>
          </w:p>
        </w:tc>
        <w:tc>
          <w:tcPr>
            <w:tcW w:w="3595" w:type="dxa"/>
            <w:tcBorders>
              <w:top w:val="single" w:sz="4" w:space="0" w:color="000000"/>
            </w:tcBorders>
          </w:tcPr>
          <w:p>
            <w:pPr>
              <w:pStyle w:val="TableParagraph"/>
              <w:spacing w:before="59"/>
              <w:ind w:left="117" w:right="475"/>
              <w:rPr>
                <w:sz w:val="20"/>
              </w:rPr>
            </w:pPr>
            <w:r>
              <w:rPr>
                <w:sz w:val="20"/>
              </w:rPr>
              <w:t>Informationssicherheitsrichtlinie für Lieferantenbeziehungen</w:t>
            </w:r>
          </w:p>
        </w:tc>
        <w:tc>
          <w:tcPr>
            <w:tcW w:w="5333" w:type="dxa"/>
            <w:gridSpan w:val="2"/>
            <w:tcBorders>
              <w:top w:val="single" w:sz="4" w:space="0" w:color="000000"/>
              <w:right w:val="single" w:sz="12" w:space="0" w:color="000000"/>
            </w:tcBorders>
          </w:tcPr>
          <w:p>
            <w:pPr>
              <w:pStyle w:val="TableParagraph"/>
              <w:rPr>
                <w:i/>
                <w:sz w:val="20"/>
              </w:rPr>
            </w:pPr>
            <w:r>
              <w:rPr>
                <w:i/>
                <w:sz w:val="20"/>
              </w:rPr>
              <w:t>Maßnahme</w:t>
            </w:r>
          </w:p>
          <w:p>
            <w:pPr>
              <w:pStyle w:val="TableParagraph"/>
              <w:tabs>
                <w:tab w:pos="1003" w:val="left" w:leader="none"/>
                <w:tab w:pos="4954" w:val="left" w:leader="none"/>
              </w:tabs>
              <w:spacing w:before="60"/>
              <w:ind w:right="79"/>
              <w:jc w:val="both"/>
              <w:rPr>
                <w:sz w:val="20"/>
              </w:rPr>
            </w:pPr>
            <w:r>
              <w:rPr>
                <w:sz w:val="20"/>
              </w:rPr>
              <w:t>Die</w:t>
              <w:tab/>
              <w:t>Informationssicherheitsanforderungen</w:t>
              <w:tab/>
            </w:r>
            <w:r>
              <w:rPr>
                <w:spacing w:val="-7"/>
                <w:sz w:val="20"/>
              </w:rPr>
              <w:t>zur </w:t>
            </w:r>
            <w:r>
              <w:rPr>
                <w:sz w:val="20"/>
              </w:rPr>
              <w:t>Verringerung von Risiken im Zusammenhang mit dem Zugriff von Lieferanten auf Werte der Organisation werden mit dem Zulieferer vereinbart und sind dokumentiert.</w:t>
            </w:r>
          </w:p>
        </w:tc>
      </w:tr>
      <w:tr>
        <w:trPr>
          <w:trHeight w:val="1789" w:hRule="atLeast"/>
        </w:trPr>
        <w:tc>
          <w:tcPr>
            <w:tcW w:w="962" w:type="dxa"/>
            <w:tcBorders>
              <w:left w:val="single" w:sz="12" w:space="0" w:color="000000"/>
            </w:tcBorders>
          </w:tcPr>
          <w:p>
            <w:pPr>
              <w:pStyle w:val="TableParagraph"/>
              <w:ind w:left="109"/>
              <w:rPr>
                <w:sz w:val="20"/>
              </w:rPr>
            </w:pPr>
            <w:r>
              <w:rPr>
                <w:sz w:val="20"/>
              </w:rPr>
              <w:t>A.15.1.2</w:t>
            </w:r>
          </w:p>
        </w:tc>
        <w:tc>
          <w:tcPr>
            <w:tcW w:w="3595" w:type="dxa"/>
          </w:tcPr>
          <w:p>
            <w:pPr>
              <w:pStyle w:val="TableParagraph"/>
              <w:ind w:left="117"/>
              <w:rPr>
                <w:sz w:val="20"/>
              </w:rPr>
            </w:pPr>
            <w:r>
              <w:rPr>
                <w:sz w:val="20"/>
              </w:rPr>
              <w:t>Behandlung von Sicherheit in Lieferantenvereinbarungen</w:t>
            </w:r>
          </w:p>
        </w:tc>
        <w:tc>
          <w:tcPr>
            <w:tcW w:w="5333" w:type="dxa"/>
            <w:gridSpan w:val="2"/>
            <w:tcBorders>
              <w:right w:val="single" w:sz="12" w:space="0" w:color="000000"/>
            </w:tcBorders>
          </w:tcPr>
          <w:p>
            <w:pPr>
              <w:pStyle w:val="TableParagraph"/>
              <w:spacing w:before="54"/>
              <w:rPr>
                <w:i/>
                <w:sz w:val="20"/>
              </w:rPr>
            </w:pPr>
            <w:r>
              <w:rPr>
                <w:i/>
                <w:sz w:val="20"/>
              </w:rPr>
              <w:t>Maßnahme</w:t>
            </w:r>
          </w:p>
          <w:p>
            <w:pPr>
              <w:pStyle w:val="TableParagraph"/>
              <w:spacing w:before="63"/>
              <w:ind w:right="72"/>
              <w:jc w:val="both"/>
              <w:rPr>
                <w:sz w:val="20"/>
              </w:rPr>
            </w:pPr>
            <w:r>
              <w:rPr>
                <w:sz w:val="20"/>
              </w:rPr>
              <w:t>Alle relevanten Informationssicherheitsanforderungen werden mit jedem Lieferanten festgelegt, der Zugang zu Information der Organisation haben könnte, diese verarbeiten, speichern, weitergeben könnte oder IT- Infrastrukturkomponenten dafür bereitstellt und sind vereinbart.</w:t>
            </w:r>
          </w:p>
        </w:tc>
      </w:tr>
      <w:tr>
        <w:trPr>
          <w:trHeight w:val="1559" w:hRule="atLeast"/>
        </w:trPr>
        <w:tc>
          <w:tcPr>
            <w:tcW w:w="962" w:type="dxa"/>
            <w:tcBorders>
              <w:left w:val="single" w:sz="12" w:space="0" w:color="000000"/>
            </w:tcBorders>
          </w:tcPr>
          <w:p>
            <w:pPr>
              <w:pStyle w:val="TableParagraph"/>
              <w:ind w:left="109"/>
              <w:rPr>
                <w:sz w:val="20"/>
              </w:rPr>
            </w:pPr>
            <w:r>
              <w:rPr>
                <w:sz w:val="20"/>
              </w:rPr>
              <w:t>A.15.1.3</w:t>
            </w:r>
          </w:p>
        </w:tc>
        <w:tc>
          <w:tcPr>
            <w:tcW w:w="3595" w:type="dxa"/>
          </w:tcPr>
          <w:p>
            <w:pPr>
              <w:pStyle w:val="TableParagraph"/>
              <w:ind w:left="117" w:right="608"/>
              <w:rPr>
                <w:sz w:val="20"/>
              </w:rPr>
            </w:pPr>
            <w:r>
              <w:rPr>
                <w:sz w:val="20"/>
              </w:rPr>
              <w:t>Lieferkette für Informations- und Kommunikationstechnologie</w:t>
            </w:r>
          </w:p>
        </w:tc>
        <w:tc>
          <w:tcPr>
            <w:tcW w:w="5333" w:type="dxa"/>
            <w:gridSpan w:val="2"/>
            <w:tcBorders>
              <w:right w:val="single" w:sz="12" w:space="0" w:color="000000"/>
            </w:tcBorders>
          </w:tcPr>
          <w:p>
            <w:pPr>
              <w:pStyle w:val="TableParagraph"/>
              <w:spacing w:before="54"/>
              <w:rPr>
                <w:i/>
                <w:sz w:val="20"/>
              </w:rPr>
            </w:pPr>
            <w:r>
              <w:rPr>
                <w:i/>
                <w:sz w:val="20"/>
              </w:rPr>
              <w:t>Maßnahme</w:t>
            </w:r>
          </w:p>
          <w:p>
            <w:pPr>
              <w:pStyle w:val="TableParagraph"/>
              <w:spacing w:before="63"/>
              <w:ind w:right="72"/>
              <w:jc w:val="both"/>
              <w:rPr>
                <w:sz w:val="20"/>
              </w:rPr>
            </w:pPr>
            <w:r>
              <w:rPr>
                <w:sz w:val="20"/>
              </w:rPr>
              <w:t>Anforderungen für den Umgang mit Informationssicherheitsrisiken, die mit Informations- und Kommunikationsdienstleistungen und der Produkt- lieferkette verbunden sind, werden in Vereinbarungen mit Lieferanten aufgenommen.</w:t>
            </w:r>
          </w:p>
        </w:tc>
      </w:tr>
      <w:tr>
        <w:trPr>
          <w:trHeight w:val="870" w:hRule="atLeast"/>
        </w:trPr>
        <w:tc>
          <w:tcPr>
            <w:tcW w:w="9890" w:type="dxa"/>
            <w:gridSpan w:val="4"/>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A.15.2</w:t>
              <w:tab/>
              <w:t>Steuerung der Dienstleistungserbringung von</w:t>
            </w:r>
            <w:r>
              <w:rPr>
                <w:b/>
                <w:spacing w:val="-3"/>
                <w:sz w:val="20"/>
              </w:rPr>
              <w:t> </w:t>
            </w:r>
            <w:r>
              <w:rPr>
                <w:b/>
                <w:sz w:val="20"/>
              </w:rPr>
              <w:t>Lieferanten</w:t>
            </w:r>
          </w:p>
          <w:p>
            <w:pPr>
              <w:pStyle w:val="TableParagraph"/>
              <w:spacing w:before="63"/>
              <w:ind w:left="109" w:right="125" w:hanging="1"/>
              <w:rPr>
                <w:sz w:val="20"/>
              </w:rPr>
            </w:pPr>
            <w:r>
              <w:rPr>
                <w:sz w:val="20"/>
              </w:rPr>
              <w:t>Ziel: Ein vereinbartes Niveau der Informationssicherheit und der Dienstleistungserbringung ist im Einklang mit Lieferantenverträgen aufrechterhalten.</w:t>
            </w:r>
          </w:p>
        </w:tc>
      </w:tr>
      <w:tr>
        <w:trPr>
          <w:trHeight w:val="1098" w:hRule="atLeast"/>
        </w:trPr>
        <w:tc>
          <w:tcPr>
            <w:tcW w:w="962" w:type="dxa"/>
            <w:tcBorders>
              <w:left w:val="single" w:sz="12" w:space="0" w:color="000000"/>
            </w:tcBorders>
          </w:tcPr>
          <w:p>
            <w:pPr>
              <w:pStyle w:val="TableParagraph"/>
              <w:ind w:left="109"/>
              <w:rPr>
                <w:sz w:val="20"/>
              </w:rPr>
            </w:pPr>
            <w:r>
              <w:rPr>
                <w:sz w:val="20"/>
              </w:rPr>
              <w:t>A.15.2.1</w:t>
            </w:r>
          </w:p>
        </w:tc>
        <w:tc>
          <w:tcPr>
            <w:tcW w:w="3595" w:type="dxa"/>
          </w:tcPr>
          <w:p>
            <w:pPr>
              <w:pStyle w:val="TableParagraph"/>
              <w:ind w:left="117" w:right="274"/>
              <w:rPr>
                <w:sz w:val="20"/>
              </w:rPr>
            </w:pPr>
            <w:r>
              <w:rPr>
                <w:sz w:val="20"/>
              </w:rPr>
              <w:t>Überwachung und Überprüfung von Lieferantendienstleistungen</w:t>
            </w:r>
          </w:p>
        </w:tc>
        <w:tc>
          <w:tcPr>
            <w:tcW w:w="5333" w:type="dxa"/>
            <w:gridSpan w:val="2"/>
            <w:tcBorders>
              <w:right w:val="single" w:sz="12" w:space="0" w:color="000000"/>
            </w:tcBorders>
          </w:tcPr>
          <w:p>
            <w:pPr>
              <w:pStyle w:val="TableParagraph"/>
              <w:spacing w:before="54"/>
              <w:rPr>
                <w:i/>
                <w:sz w:val="20"/>
              </w:rPr>
            </w:pPr>
            <w:r>
              <w:rPr>
                <w:i/>
                <w:sz w:val="20"/>
              </w:rPr>
              <w:t>Maßnahme</w:t>
            </w:r>
          </w:p>
          <w:p>
            <w:pPr>
              <w:pStyle w:val="TableParagraph"/>
              <w:spacing w:before="63"/>
              <w:ind w:right="80"/>
              <w:jc w:val="both"/>
              <w:rPr>
                <w:sz w:val="20"/>
              </w:rPr>
            </w:pPr>
            <w:r>
              <w:rPr>
                <w:sz w:val="20"/>
              </w:rPr>
              <w:t>Organisationen überwachen, überprüfen und auditieren die Dienstleistungserbringung durch Lieferanten regelmäßig.</w:t>
            </w:r>
          </w:p>
        </w:tc>
      </w:tr>
      <w:tr>
        <w:trPr>
          <w:trHeight w:val="2020" w:hRule="atLeast"/>
        </w:trPr>
        <w:tc>
          <w:tcPr>
            <w:tcW w:w="962" w:type="dxa"/>
            <w:tcBorders>
              <w:left w:val="single" w:sz="12" w:space="0" w:color="000000"/>
            </w:tcBorders>
          </w:tcPr>
          <w:p>
            <w:pPr>
              <w:pStyle w:val="TableParagraph"/>
              <w:ind w:left="109"/>
              <w:rPr>
                <w:sz w:val="20"/>
              </w:rPr>
            </w:pPr>
            <w:r>
              <w:rPr>
                <w:sz w:val="20"/>
              </w:rPr>
              <w:t>A.15.2.2</w:t>
            </w:r>
          </w:p>
        </w:tc>
        <w:tc>
          <w:tcPr>
            <w:tcW w:w="3595" w:type="dxa"/>
          </w:tcPr>
          <w:p>
            <w:pPr>
              <w:pStyle w:val="TableParagraph"/>
              <w:ind w:left="117" w:right="429"/>
              <w:rPr>
                <w:sz w:val="20"/>
              </w:rPr>
            </w:pPr>
            <w:r>
              <w:rPr>
                <w:sz w:val="20"/>
              </w:rPr>
              <w:t>Handhabung der Änderungen von Lieferantendienstleistungen</w:t>
            </w:r>
          </w:p>
        </w:tc>
        <w:tc>
          <w:tcPr>
            <w:tcW w:w="5333" w:type="dxa"/>
            <w:gridSpan w:val="2"/>
            <w:tcBorders>
              <w:right w:val="single" w:sz="12" w:space="0" w:color="000000"/>
            </w:tcBorders>
          </w:tcPr>
          <w:p>
            <w:pPr>
              <w:pStyle w:val="TableParagraph"/>
              <w:spacing w:before="54"/>
              <w:rPr>
                <w:i/>
                <w:sz w:val="20"/>
              </w:rPr>
            </w:pPr>
            <w:r>
              <w:rPr>
                <w:i/>
                <w:sz w:val="20"/>
              </w:rPr>
              <w:t>Maßnahme</w:t>
            </w:r>
          </w:p>
          <w:p>
            <w:pPr>
              <w:pStyle w:val="TableParagraph"/>
              <w:spacing w:before="63"/>
              <w:ind w:right="76"/>
              <w:jc w:val="both"/>
              <w:rPr>
                <w:sz w:val="20"/>
              </w:rPr>
            </w:pPr>
            <w:r>
              <w:rPr>
                <w:sz w:val="20"/>
              </w:rPr>
              <w:t>Änderungen bei der Bereitstellung von Dienstleistungen durch Lieferanten werden gesteuert. Solche Änderungen umfassen auch die Pflege und Verbesserung bestehender Informationssicherheitsrichtlinien, -verfahren und -maßnahmen. Dabei werden die Kritikalität der betroffenen Geschäftsinformation, -systeme</w:t>
            </w:r>
            <w:r>
              <w:rPr>
                <w:spacing w:val="49"/>
                <w:sz w:val="20"/>
              </w:rPr>
              <w:t> </w:t>
            </w:r>
            <w:r>
              <w:rPr>
                <w:sz w:val="20"/>
              </w:rPr>
              <w:t>und</w:t>
            </w:r>
          </w:p>
          <w:p>
            <w:pPr>
              <w:pStyle w:val="TableParagraph"/>
              <w:spacing w:before="0"/>
              <w:jc w:val="both"/>
              <w:rPr>
                <w:sz w:val="20"/>
              </w:rPr>
            </w:pPr>
            <w:r>
              <w:rPr>
                <w:sz w:val="20"/>
              </w:rPr>
              <w:t>-prozesse und eine erneute Risikobeurteilung beachtet.</w:t>
            </w:r>
          </w:p>
        </w:tc>
      </w:tr>
      <w:tr>
        <w:trPr>
          <w:trHeight w:val="349" w:hRule="atLeast"/>
        </w:trPr>
        <w:tc>
          <w:tcPr>
            <w:tcW w:w="9890" w:type="dxa"/>
            <w:gridSpan w:val="4"/>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A.16</w:t>
              <w:tab/>
              <w:t>Handhabung von Informationssicherheitsvorfällen</w:t>
            </w:r>
          </w:p>
        </w:tc>
      </w:tr>
      <w:tr>
        <w:trPr>
          <w:trHeight w:val="1101" w:hRule="atLeast"/>
        </w:trPr>
        <w:tc>
          <w:tcPr>
            <w:tcW w:w="9890" w:type="dxa"/>
            <w:gridSpan w:val="4"/>
            <w:tcBorders>
              <w:left w:val="single" w:sz="12" w:space="0" w:color="000000"/>
              <w:right w:val="single" w:sz="12" w:space="0" w:color="000000"/>
            </w:tcBorders>
          </w:tcPr>
          <w:p>
            <w:pPr>
              <w:pStyle w:val="TableParagraph"/>
              <w:spacing w:before="54"/>
              <w:ind w:left="109"/>
              <w:jc w:val="both"/>
              <w:rPr>
                <w:b/>
                <w:sz w:val="20"/>
              </w:rPr>
            </w:pPr>
            <w:r>
              <w:rPr>
                <w:b/>
                <w:sz w:val="20"/>
              </w:rPr>
              <w:t>A.16.1 Handhabung von Informationssicherheitsvorfällen und Verbesserungen</w:t>
            </w:r>
          </w:p>
          <w:p>
            <w:pPr>
              <w:pStyle w:val="TableParagraph"/>
              <w:spacing w:before="63"/>
              <w:ind w:left="110" w:right="76" w:hanging="1"/>
              <w:jc w:val="both"/>
              <w:rPr>
                <w:sz w:val="20"/>
              </w:rPr>
            </w:pPr>
            <w:r>
              <w:rPr>
                <w:sz w:val="20"/>
              </w:rPr>
              <w:t>Ziel: Eine konsistente und wirksame Herangehensweise für die Handhabung von Informationssicherheitsvorfällen einschließlich der Benachrichtigung über Sicherheitsereignisse und Schwächen ist sichergestellt.</w:t>
            </w:r>
          </w:p>
        </w:tc>
      </w:tr>
      <w:tr>
        <w:trPr>
          <w:trHeight w:val="1328" w:hRule="atLeast"/>
        </w:trPr>
        <w:tc>
          <w:tcPr>
            <w:tcW w:w="962" w:type="dxa"/>
            <w:tcBorders>
              <w:left w:val="single" w:sz="12" w:space="0" w:color="000000"/>
            </w:tcBorders>
          </w:tcPr>
          <w:p>
            <w:pPr>
              <w:pStyle w:val="TableParagraph"/>
              <w:ind w:left="109"/>
              <w:rPr>
                <w:sz w:val="20"/>
              </w:rPr>
            </w:pPr>
            <w:r>
              <w:rPr>
                <w:sz w:val="20"/>
              </w:rPr>
              <w:t>A.16.1.1</w:t>
            </w:r>
          </w:p>
        </w:tc>
        <w:tc>
          <w:tcPr>
            <w:tcW w:w="3823" w:type="dxa"/>
            <w:gridSpan w:val="2"/>
          </w:tcPr>
          <w:p>
            <w:pPr>
              <w:pStyle w:val="TableParagraph"/>
              <w:ind w:left="117"/>
              <w:rPr>
                <w:sz w:val="20"/>
              </w:rPr>
            </w:pPr>
            <w:r>
              <w:rPr>
                <w:sz w:val="20"/>
              </w:rPr>
              <w:t>Verantwortlichkeiten und Verfahren</w:t>
            </w:r>
          </w:p>
        </w:tc>
        <w:tc>
          <w:tcPr>
            <w:tcW w:w="5105" w:type="dxa"/>
            <w:tcBorders>
              <w:right w:val="single" w:sz="12" w:space="0" w:color="000000"/>
            </w:tcBorders>
          </w:tcPr>
          <w:p>
            <w:pPr>
              <w:pStyle w:val="TableParagraph"/>
              <w:spacing w:before="54"/>
              <w:ind w:left="117"/>
              <w:rPr>
                <w:i/>
                <w:sz w:val="20"/>
              </w:rPr>
            </w:pPr>
            <w:r>
              <w:rPr>
                <w:i/>
                <w:sz w:val="20"/>
              </w:rPr>
              <w:t>Maßnahme</w:t>
            </w:r>
          </w:p>
          <w:p>
            <w:pPr>
              <w:pStyle w:val="TableParagraph"/>
              <w:spacing w:before="63"/>
              <w:ind w:left="117" w:right="76"/>
              <w:jc w:val="both"/>
              <w:rPr>
                <w:sz w:val="20"/>
              </w:rPr>
            </w:pPr>
            <w:r>
              <w:rPr>
                <w:sz w:val="20"/>
              </w:rPr>
              <w:t>Handhabungsverantwortlichkeiten und -verfahren sind festgelegt, um eine schnelle, effektive und geordnete Reaktion auf Informationssicherheitsvorfälle sicherzustellen.</w:t>
            </w:r>
          </w:p>
        </w:tc>
      </w:tr>
    </w:tbl>
    <w:p>
      <w:pPr>
        <w:pStyle w:val="BodyText"/>
        <w:spacing w:before="6"/>
        <w:rPr>
          <w:sz w:val="14"/>
        </w:rPr>
      </w:pPr>
      <w:r>
        <w:rPr/>
        <w:pict>
          <v:shape style="position:absolute;margin-left:70.800003pt;margin-top:10.5595pt;width:144pt;height:.1pt;mso-position-horizontal-relative:page;mso-position-vertical-relative:paragraph;z-index:-251628544;mso-wrap-distance-left:0;mso-wrap-distance-right:0" coordorigin="1416,211" coordsize="2880,0" path="m1416,211l4296,211e" filled="false" stroked="true" strokeweight=".481pt" strokecolor="#000000">
            <v:path arrowok="t"/>
            <v:stroke dashstyle="solid"/>
            <w10:wrap type="topAndBottom"/>
          </v:shape>
        </w:pict>
      </w:r>
    </w:p>
    <w:p>
      <w:pPr>
        <w:pStyle w:val="BodyText"/>
        <w:spacing w:before="4"/>
        <w:rPr>
          <w:sz w:val="17"/>
        </w:rPr>
      </w:pPr>
    </w:p>
    <w:p>
      <w:pPr>
        <w:spacing w:before="96"/>
        <w:ind w:left="1156" w:right="0" w:firstLine="0"/>
        <w:jc w:val="left"/>
        <w:rPr>
          <w:sz w:val="18"/>
        </w:rPr>
      </w:pPr>
      <w:r>
        <w:rPr/>
        <w:pict>
          <v:shape style="position:absolute;margin-left:9.663086pt;margin-top:-8.545554pt;width:9.85pt;height:83.7pt;mso-position-horizontal-relative:page;mso-position-vertical-relative:paragraph;z-index:-254688256"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bookmarkStart w:name="_bookmark41" w:id="129"/>
      <w:bookmarkEnd w:id="129"/>
      <w:r>
        <w:rPr/>
      </w:r>
      <w:r>
        <w:rPr>
          <w:position w:val="6"/>
          <w:sz w:val="16"/>
        </w:rPr>
        <w:t>N4) </w:t>
      </w:r>
      <w:r>
        <w:rPr>
          <w:sz w:val="18"/>
        </w:rPr>
        <w:t>Dienstleister werden hier ebenfalls als Lieferanten betrachtet.</w:t>
      </w:r>
    </w:p>
    <w:p>
      <w:pPr>
        <w:spacing w:after="0"/>
        <w:jc w:val="left"/>
        <w:rPr>
          <w:sz w:val="18"/>
        </w:rPr>
        <w:sectPr>
          <w:pgSz w:w="11910" w:h="16840"/>
          <w:pgMar w:header="710" w:footer="120" w:top="1540" w:bottom="320" w:left="260" w:right="540"/>
        </w:sectPr>
      </w:pPr>
    </w:p>
    <w:p>
      <w:pPr>
        <w:pStyle w:val="BodyText"/>
        <w:spacing w:before="8"/>
        <w:rPr>
          <w:sz w:val="8"/>
        </w:rPr>
      </w:pPr>
      <w:r>
        <w:rPr/>
        <w:pict>
          <v:shape style="position:absolute;margin-left:9.663086pt;margin-top:739.23053pt;width:9.85pt;height:83.7pt;mso-position-horizontal-relative:page;mso-position-vertical-relative:page;z-index:251689984"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p>
    <w:tbl>
      <w:tblPr>
        <w:tblW w:w="0" w:type="auto"/>
        <w:jc w:val="left"/>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
        <w:gridCol w:w="3595"/>
        <w:gridCol w:w="228"/>
        <w:gridCol w:w="5105"/>
      </w:tblGrid>
      <w:tr>
        <w:trPr>
          <w:trHeight w:val="1100" w:hRule="atLeast"/>
        </w:trPr>
        <w:tc>
          <w:tcPr>
            <w:tcW w:w="962" w:type="dxa"/>
            <w:tcBorders>
              <w:left w:val="single" w:sz="12" w:space="0" w:color="000000"/>
            </w:tcBorders>
          </w:tcPr>
          <w:p>
            <w:pPr>
              <w:pStyle w:val="TableParagraph"/>
              <w:ind w:left="0" w:right="88"/>
              <w:jc w:val="right"/>
              <w:rPr>
                <w:sz w:val="20"/>
              </w:rPr>
            </w:pPr>
            <w:r>
              <w:rPr>
                <w:w w:val="95"/>
                <w:sz w:val="20"/>
              </w:rPr>
              <w:t>A.16.1.2</w:t>
            </w:r>
          </w:p>
        </w:tc>
        <w:tc>
          <w:tcPr>
            <w:tcW w:w="3823" w:type="dxa"/>
            <w:gridSpan w:val="2"/>
          </w:tcPr>
          <w:p>
            <w:pPr>
              <w:pStyle w:val="TableParagraph"/>
              <w:rPr>
                <w:sz w:val="20"/>
              </w:rPr>
            </w:pPr>
            <w:r>
              <w:rPr>
                <w:sz w:val="20"/>
              </w:rPr>
              <w:t>Meldung von </w:t>
            </w:r>
            <w:r>
              <w:rPr>
                <w:w w:val="95"/>
                <w:sz w:val="20"/>
              </w:rPr>
              <w:t>Informationssicherheitsereignissen</w:t>
            </w:r>
          </w:p>
        </w:tc>
        <w:tc>
          <w:tcPr>
            <w:tcW w:w="5105" w:type="dxa"/>
            <w:tcBorders>
              <w:right w:val="single" w:sz="12" w:space="0" w:color="000000"/>
            </w:tcBorders>
          </w:tcPr>
          <w:p>
            <w:pPr>
              <w:pStyle w:val="TableParagraph"/>
              <w:spacing w:before="54"/>
              <w:ind w:left="117"/>
              <w:rPr>
                <w:i/>
                <w:sz w:val="20"/>
              </w:rPr>
            </w:pPr>
            <w:r>
              <w:rPr>
                <w:i/>
                <w:sz w:val="20"/>
              </w:rPr>
              <w:t>Maßnahme</w:t>
            </w:r>
          </w:p>
          <w:p>
            <w:pPr>
              <w:pStyle w:val="TableParagraph"/>
              <w:spacing w:before="63"/>
              <w:ind w:left="117" w:right="75"/>
              <w:jc w:val="both"/>
              <w:rPr>
                <w:sz w:val="20"/>
              </w:rPr>
            </w:pPr>
            <w:r>
              <w:rPr>
                <w:sz w:val="20"/>
              </w:rPr>
              <w:t>Informationssicherheitsereignisse werden so schnell wie möglich über geeignete Kanäle zu deren Handhabung gemeldet.</w:t>
            </w:r>
          </w:p>
        </w:tc>
      </w:tr>
      <w:tr>
        <w:trPr>
          <w:trHeight w:val="1789" w:hRule="atLeast"/>
        </w:trPr>
        <w:tc>
          <w:tcPr>
            <w:tcW w:w="962" w:type="dxa"/>
            <w:tcBorders>
              <w:left w:val="single" w:sz="12" w:space="0" w:color="000000"/>
              <w:bottom w:val="single" w:sz="4" w:space="0" w:color="000000"/>
            </w:tcBorders>
          </w:tcPr>
          <w:p>
            <w:pPr>
              <w:pStyle w:val="TableParagraph"/>
              <w:ind w:left="0" w:right="88"/>
              <w:jc w:val="right"/>
              <w:rPr>
                <w:sz w:val="20"/>
              </w:rPr>
            </w:pPr>
            <w:r>
              <w:rPr>
                <w:w w:val="95"/>
                <w:sz w:val="20"/>
              </w:rPr>
              <w:t>A.16.1.3</w:t>
            </w:r>
          </w:p>
        </w:tc>
        <w:tc>
          <w:tcPr>
            <w:tcW w:w="3823" w:type="dxa"/>
            <w:gridSpan w:val="2"/>
            <w:tcBorders>
              <w:bottom w:val="single" w:sz="4" w:space="0" w:color="000000"/>
            </w:tcBorders>
          </w:tcPr>
          <w:p>
            <w:pPr>
              <w:pStyle w:val="TableParagraph"/>
              <w:rPr>
                <w:sz w:val="20"/>
              </w:rPr>
            </w:pPr>
            <w:r>
              <w:rPr>
                <w:sz w:val="20"/>
              </w:rPr>
              <w:t>Meldung von Schwächen in der Informationssicherheit</w:t>
            </w:r>
          </w:p>
        </w:tc>
        <w:tc>
          <w:tcPr>
            <w:tcW w:w="5105" w:type="dxa"/>
            <w:tcBorders>
              <w:bottom w:val="single" w:sz="4" w:space="0" w:color="000000"/>
              <w:right w:val="single" w:sz="12" w:space="0" w:color="000000"/>
            </w:tcBorders>
          </w:tcPr>
          <w:p>
            <w:pPr>
              <w:pStyle w:val="TableParagraph"/>
              <w:spacing w:before="54"/>
              <w:ind w:left="117"/>
              <w:rPr>
                <w:i/>
                <w:sz w:val="20"/>
              </w:rPr>
            </w:pPr>
            <w:r>
              <w:rPr>
                <w:i/>
                <w:sz w:val="20"/>
              </w:rPr>
              <w:t>Maßnahme</w:t>
            </w:r>
          </w:p>
          <w:p>
            <w:pPr>
              <w:pStyle w:val="TableParagraph"/>
              <w:spacing w:before="63"/>
              <w:ind w:left="117" w:right="75"/>
              <w:jc w:val="both"/>
              <w:rPr>
                <w:sz w:val="20"/>
              </w:rPr>
            </w:pPr>
            <w:r>
              <w:rPr>
                <w:sz w:val="20"/>
              </w:rPr>
              <w:t>Beschäftigte und Auftragnehmer, welche die Informationssysteme und -dienste der Organisation nutzen, werden angehalten, jegliche beobachteten oder vermuteten Schwächen in der Informationssicherheit in Systemen oder Diensten festzuhalten und zu</w:t>
            </w:r>
            <w:r>
              <w:rPr>
                <w:spacing w:val="-1"/>
                <w:sz w:val="20"/>
              </w:rPr>
              <w:t> </w:t>
            </w:r>
            <w:r>
              <w:rPr>
                <w:sz w:val="20"/>
              </w:rPr>
              <w:t>melden.</w:t>
            </w:r>
          </w:p>
        </w:tc>
      </w:tr>
      <w:tr>
        <w:trPr>
          <w:trHeight w:val="1098" w:hRule="atLeast"/>
        </w:trPr>
        <w:tc>
          <w:tcPr>
            <w:tcW w:w="962" w:type="dxa"/>
            <w:tcBorders>
              <w:top w:val="single" w:sz="4" w:space="0" w:color="000000"/>
              <w:left w:val="single" w:sz="12" w:space="0" w:color="000000"/>
            </w:tcBorders>
          </w:tcPr>
          <w:p>
            <w:pPr>
              <w:pStyle w:val="TableParagraph"/>
              <w:ind w:left="0" w:right="88"/>
              <w:jc w:val="right"/>
              <w:rPr>
                <w:sz w:val="20"/>
              </w:rPr>
            </w:pPr>
            <w:r>
              <w:rPr>
                <w:w w:val="95"/>
                <w:sz w:val="20"/>
              </w:rPr>
              <w:t>A.16.1.4</w:t>
            </w:r>
          </w:p>
        </w:tc>
        <w:tc>
          <w:tcPr>
            <w:tcW w:w="3823" w:type="dxa"/>
            <w:gridSpan w:val="2"/>
            <w:tcBorders>
              <w:top w:val="single" w:sz="4" w:space="0" w:color="000000"/>
            </w:tcBorders>
          </w:tcPr>
          <w:p>
            <w:pPr>
              <w:pStyle w:val="TableParagraph"/>
              <w:rPr>
                <w:sz w:val="20"/>
              </w:rPr>
            </w:pPr>
            <w:r>
              <w:rPr>
                <w:sz w:val="20"/>
              </w:rPr>
              <w:t>Beurteilung von und Entscheidung über Informationssicherheitsereignisse</w:t>
            </w:r>
          </w:p>
        </w:tc>
        <w:tc>
          <w:tcPr>
            <w:tcW w:w="5105" w:type="dxa"/>
            <w:tcBorders>
              <w:top w:val="single" w:sz="4" w:space="0" w:color="000000"/>
              <w:right w:val="single" w:sz="12" w:space="0" w:color="000000"/>
            </w:tcBorders>
          </w:tcPr>
          <w:p>
            <w:pPr>
              <w:pStyle w:val="TableParagraph"/>
              <w:spacing w:before="54"/>
              <w:ind w:left="117"/>
              <w:rPr>
                <w:i/>
                <w:sz w:val="20"/>
              </w:rPr>
            </w:pPr>
            <w:r>
              <w:rPr>
                <w:i/>
                <w:sz w:val="20"/>
              </w:rPr>
              <w:t>Maßnahme</w:t>
            </w:r>
          </w:p>
          <w:p>
            <w:pPr>
              <w:pStyle w:val="TableParagraph"/>
              <w:spacing w:before="63"/>
              <w:ind w:left="117" w:right="76"/>
              <w:jc w:val="both"/>
              <w:rPr>
                <w:sz w:val="20"/>
              </w:rPr>
            </w:pPr>
            <w:r>
              <w:rPr>
                <w:sz w:val="20"/>
              </w:rPr>
              <w:t>Informationssicherheitsereignisse werden beurteilt, und es wird darüber entschieden, ob sie als Informationssicherheitsvorfälle einzustufen</w:t>
            </w:r>
            <w:r>
              <w:rPr>
                <w:spacing w:val="-6"/>
                <w:sz w:val="20"/>
              </w:rPr>
              <w:t> </w:t>
            </w:r>
            <w:r>
              <w:rPr>
                <w:sz w:val="20"/>
              </w:rPr>
              <w:t>sind.</w:t>
            </w:r>
          </w:p>
        </w:tc>
      </w:tr>
      <w:tr>
        <w:trPr>
          <w:trHeight w:val="870" w:hRule="atLeast"/>
        </w:trPr>
        <w:tc>
          <w:tcPr>
            <w:tcW w:w="962" w:type="dxa"/>
            <w:tcBorders>
              <w:left w:val="single" w:sz="12" w:space="0" w:color="000000"/>
            </w:tcBorders>
          </w:tcPr>
          <w:p>
            <w:pPr>
              <w:pStyle w:val="TableParagraph"/>
              <w:ind w:left="0" w:right="88"/>
              <w:jc w:val="right"/>
              <w:rPr>
                <w:sz w:val="20"/>
              </w:rPr>
            </w:pPr>
            <w:r>
              <w:rPr>
                <w:w w:val="95"/>
                <w:sz w:val="20"/>
              </w:rPr>
              <w:t>A.16.1.5</w:t>
            </w:r>
          </w:p>
        </w:tc>
        <w:tc>
          <w:tcPr>
            <w:tcW w:w="3823" w:type="dxa"/>
            <w:gridSpan w:val="2"/>
          </w:tcPr>
          <w:p>
            <w:pPr>
              <w:pStyle w:val="TableParagraph"/>
              <w:spacing w:line="302" w:lineRule="auto"/>
              <w:ind w:right="916"/>
              <w:rPr>
                <w:sz w:val="20"/>
              </w:rPr>
            </w:pPr>
            <w:r>
              <w:rPr>
                <w:sz w:val="20"/>
              </w:rPr>
              <w:t>Reaktion auf </w:t>
            </w:r>
            <w:r>
              <w:rPr>
                <w:w w:val="95"/>
                <w:sz w:val="20"/>
              </w:rPr>
              <w:t>Informationssicherheitsvorfälle</w:t>
            </w:r>
          </w:p>
        </w:tc>
        <w:tc>
          <w:tcPr>
            <w:tcW w:w="5105" w:type="dxa"/>
            <w:tcBorders>
              <w:right w:val="single" w:sz="12" w:space="0" w:color="000000"/>
            </w:tcBorders>
          </w:tcPr>
          <w:p>
            <w:pPr>
              <w:pStyle w:val="TableParagraph"/>
              <w:spacing w:before="54"/>
              <w:ind w:left="117"/>
              <w:rPr>
                <w:i/>
                <w:sz w:val="20"/>
              </w:rPr>
            </w:pPr>
            <w:r>
              <w:rPr>
                <w:i/>
                <w:sz w:val="20"/>
              </w:rPr>
              <w:t>Maßnahme</w:t>
            </w:r>
          </w:p>
          <w:p>
            <w:pPr>
              <w:pStyle w:val="TableParagraph"/>
              <w:spacing w:before="63"/>
              <w:ind w:left="117"/>
              <w:rPr>
                <w:sz w:val="20"/>
              </w:rPr>
            </w:pPr>
            <w:r>
              <w:rPr>
                <w:sz w:val="20"/>
              </w:rPr>
              <w:t>Auf Informationssicherheitsvorfälle wird entsprechend den dokumentierten Verfahren reagiert.</w:t>
            </w:r>
          </w:p>
        </w:tc>
      </w:tr>
      <w:tr>
        <w:trPr>
          <w:trHeight w:val="1559" w:hRule="atLeast"/>
        </w:trPr>
        <w:tc>
          <w:tcPr>
            <w:tcW w:w="962" w:type="dxa"/>
            <w:tcBorders>
              <w:left w:val="single" w:sz="12" w:space="0" w:color="000000"/>
            </w:tcBorders>
          </w:tcPr>
          <w:p>
            <w:pPr>
              <w:pStyle w:val="TableParagraph"/>
              <w:ind w:left="0" w:right="88"/>
              <w:jc w:val="right"/>
              <w:rPr>
                <w:sz w:val="20"/>
              </w:rPr>
            </w:pPr>
            <w:r>
              <w:rPr>
                <w:w w:val="95"/>
                <w:sz w:val="20"/>
              </w:rPr>
              <w:t>A.16.1.6</w:t>
            </w:r>
          </w:p>
        </w:tc>
        <w:tc>
          <w:tcPr>
            <w:tcW w:w="3823" w:type="dxa"/>
            <w:gridSpan w:val="2"/>
          </w:tcPr>
          <w:p>
            <w:pPr>
              <w:pStyle w:val="TableParagraph"/>
              <w:ind w:right="916"/>
              <w:rPr>
                <w:sz w:val="20"/>
              </w:rPr>
            </w:pPr>
            <w:r>
              <w:rPr>
                <w:sz w:val="20"/>
              </w:rPr>
              <w:t>Erkenntnisse aus Informations- sicherheitsvorfällen</w:t>
            </w:r>
          </w:p>
        </w:tc>
        <w:tc>
          <w:tcPr>
            <w:tcW w:w="5105" w:type="dxa"/>
            <w:tcBorders>
              <w:right w:val="single" w:sz="12" w:space="0" w:color="000000"/>
            </w:tcBorders>
          </w:tcPr>
          <w:p>
            <w:pPr>
              <w:pStyle w:val="TableParagraph"/>
              <w:spacing w:before="54"/>
              <w:ind w:left="117"/>
              <w:rPr>
                <w:i/>
                <w:sz w:val="20"/>
              </w:rPr>
            </w:pPr>
            <w:r>
              <w:rPr>
                <w:i/>
                <w:sz w:val="20"/>
              </w:rPr>
              <w:t>Maßnahme</w:t>
            </w:r>
          </w:p>
          <w:p>
            <w:pPr>
              <w:pStyle w:val="TableParagraph"/>
              <w:tabs>
                <w:tab w:pos="3968" w:val="left" w:leader="none"/>
              </w:tabs>
              <w:spacing w:before="63"/>
              <w:ind w:left="117" w:right="76"/>
              <w:jc w:val="both"/>
              <w:rPr>
                <w:sz w:val="20"/>
              </w:rPr>
            </w:pPr>
            <w:r>
              <w:rPr>
                <w:sz w:val="20"/>
              </w:rPr>
              <w:t>Aus der Analyse und Lösung von Informationssicherheitsvorfällen</w:t>
              <w:tab/>
            </w:r>
            <w:r>
              <w:rPr>
                <w:spacing w:val="-3"/>
                <w:sz w:val="20"/>
              </w:rPr>
              <w:t>gewonnene </w:t>
            </w:r>
            <w:r>
              <w:rPr>
                <w:sz w:val="20"/>
              </w:rPr>
              <w:t>Erkenntnisse werden dazu genutzt, die Eintrittswahrscheinlichkeit oder die Auswirkungen zukünftiger Vorfälle zu</w:t>
            </w:r>
            <w:r>
              <w:rPr>
                <w:spacing w:val="-1"/>
                <w:sz w:val="20"/>
              </w:rPr>
              <w:t> </w:t>
            </w:r>
            <w:r>
              <w:rPr>
                <w:sz w:val="20"/>
              </w:rPr>
              <w:t>verringern.</w:t>
            </w:r>
          </w:p>
        </w:tc>
      </w:tr>
      <w:tr>
        <w:trPr>
          <w:trHeight w:val="1331" w:hRule="atLeast"/>
        </w:trPr>
        <w:tc>
          <w:tcPr>
            <w:tcW w:w="962" w:type="dxa"/>
            <w:tcBorders>
              <w:left w:val="single" w:sz="12" w:space="0" w:color="000000"/>
            </w:tcBorders>
          </w:tcPr>
          <w:p>
            <w:pPr>
              <w:pStyle w:val="TableParagraph"/>
              <w:ind w:left="0" w:right="88"/>
              <w:jc w:val="right"/>
              <w:rPr>
                <w:sz w:val="20"/>
              </w:rPr>
            </w:pPr>
            <w:r>
              <w:rPr>
                <w:w w:val="95"/>
                <w:sz w:val="20"/>
              </w:rPr>
              <w:t>A.16.1.7</w:t>
            </w:r>
          </w:p>
        </w:tc>
        <w:tc>
          <w:tcPr>
            <w:tcW w:w="3823" w:type="dxa"/>
            <w:gridSpan w:val="2"/>
          </w:tcPr>
          <w:p>
            <w:pPr>
              <w:pStyle w:val="TableParagraph"/>
              <w:rPr>
                <w:sz w:val="20"/>
              </w:rPr>
            </w:pPr>
            <w:r>
              <w:rPr>
                <w:sz w:val="20"/>
              </w:rPr>
              <w:t>Sammeln von Beweismaterial</w:t>
            </w:r>
          </w:p>
        </w:tc>
        <w:tc>
          <w:tcPr>
            <w:tcW w:w="5105" w:type="dxa"/>
            <w:tcBorders>
              <w:right w:val="single" w:sz="12" w:space="0" w:color="000000"/>
            </w:tcBorders>
          </w:tcPr>
          <w:p>
            <w:pPr>
              <w:pStyle w:val="TableParagraph"/>
              <w:spacing w:before="54"/>
              <w:ind w:left="117"/>
              <w:rPr>
                <w:i/>
                <w:sz w:val="20"/>
              </w:rPr>
            </w:pPr>
            <w:r>
              <w:rPr>
                <w:i/>
                <w:sz w:val="20"/>
              </w:rPr>
              <w:t>Maßnahme</w:t>
            </w:r>
          </w:p>
          <w:p>
            <w:pPr>
              <w:pStyle w:val="TableParagraph"/>
              <w:spacing w:before="63"/>
              <w:ind w:left="117" w:right="74"/>
              <w:jc w:val="both"/>
              <w:rPr>
                <w:sz w:val="20"/>
              </w:rPr>
            </w:pPr>
            <w:r>
              <w:rPr>
                <w:sz w:val="20"/>
              </w:rPr>
              <w:t>Die Organisation legt Verfahren für die Ermittlung, Sammlung, Erfassung und Aufbewahrung von Information, die als Beweismaterial dienen kann, fest und wendet diese an.</w:t>
            </w:r>
          </w:p>
        </w:tc>
      </w:tr>
      <w:tr>
        <w:trPr>
          <w:trHeight w:val="349" w:hRule="atLeast"/>
        </w:trPr>
        <w:tc>
          <w:tcPr>
            <w:tcW w:w="9890" w:type="dxa"/>
            <w:gridSpan w:val="4"/>
            <w:tcBorders>
              <w:left w:val="single" w:sz="12" w:space="0" w:color="000000"/>
              <w:right w:val="single" w:sz="12" w:space="0" w:color="000000"/>
            </w:tcBorders>
          </w:tcPr>
          <w:p>
            <w:pPr>
              <w:pStyle w:val="TableParagraph"/>
              <w:tabs>
                <w:tab w:pos="906" w:val="left" w:leader="none"/>
              </w:tabs>
              <w:spacing w:before="54"/>
              <w:ind w:left="107"/>
              <w:rPr>
                <w:b/>
                <w:sz w:val="20"/>
              </w:rPr>
            </w:pPr>
            <w:r>
              <w:rPr>
                <w:b/>
                <w:sz w:val="20"/>
              </w:rPr>
              <w:t>A.17</w:t>
              <w:tab/>
              <w:t>Informationssicherheitsaspekte beim Business Continuity</w:t>
            </w:r>
            <w:r>
              <w:rPr>
                <w:b/>
                <w:spacing w:val="-6"/>
                <w:sz w:val="20"/>
              </w:rPr>
              <w:t> </w:t>
            </w:r>
            <w:r>
              <w:rPr>
                <w:b/>
                <w:sz w:val="20"/>
              </w:rPr>
              <w:t>Management</w:t>
            </w:r>
          </w:p>
        </w:tc>
      </w:tr>
      <w:tr>
        <w:trPr>
          <w:trHeight w:val="868" w:hRule="atLeast"/>
        </w:trPr>
        <w:tc>
          <w:tcPr>
            <w:tcW w:w="9890" w:type="dxa"/>
            <w:gridSpan w:val="4"/>
            <w:tcBorders>
              <w:left w:val="single" w:sz="12" w:space="0" w:color="000000"/>
              <w:right w:val="single" w:sz="12" w:space="0" w:color="000000"/>
            </w:tcBorders>
          </w:tcPr>
          <w:p>
            <w:pPr>
              <w:pStyle w:val="TableParagraph"/>
              <w:tabs>
                <w:tab w:pos="906" w:val="left" w:leader="none"/>
              </w:tabs>
              <w:spacing w:before="54"/>
              <w:ind w:left="107"/>
              <w:rPr>
                <w:b/>
                <w:sz w:val="20"/>
              </w:rPr>
            </w:pPr>
            <w:r>
              <w:rPr>
                <w:b/>
                <w:sz w:val="20"/>
              </w:rPr>
              <w:t>A.17.1</w:t>
              <w:tab/>
              <w:t>Aufrechterhalten der</w:t>
            </w:r>
            <w:r>
              <w:rPr>
                <w:b/>
                <w:spacing w:val="-2"/>
                <w:sz w:val="20"/>
              </w:rPr>
              <w:t> </w:t>
            </w:r>
            <w:r>
              <w:rPr>
                <w:b/>
                <w:sz w:val="20"/>
              </w:rPr>
              <w:t>Informationssicherheit</w:t>
            </w:r>
          </w:p>
          <w:p>
            <w:pPr>
              <w:pStyle w:val="TableParagraph"/>
              <w:spacing w:before="63"/>
              <w:ind w:left="107"/>
              <w:rPr>
                <w:sz w:val="20"/>
              </w:rPr>
            </w:pPr>
            <w:r>
              <w:rPr>
                <w:sz w:val="20"/>
              </w:rPr>
              <w:t>Ziel: Die Aufrechterhaltung der Informationssicherheit ist in das Business Continuity Managementsystem der Organisation eingebettet.</w:t>
            </w:r>
          </w:p>
        </w:tc>
      </w:tr>
      <w:tr>
        <w:trPr>
          <w:trHeight w:val="1331" w:hRule="atLeast"/>
        </w:trPr>
        <w:tc>
          <w:tcPr>
            <w:tcW w:w="962" w:type="dxa"/>
            <w:tcBorders>
              <w:left w:val="single" w:sz="12" w:space="0" w:color="000000"/>
            </w:tcBorders>
          </w:tcPr>
          <w:p>
            <w:pPr>
              <w:pStyle w:val="TableParagraph"/>
              <w:spacing w:before="59"/>
              <w:ind w:left="0" w:right="88"/>
              <w:jc w:val="right"/>
              <w:rPr>
                <w:sz w:val="20"/>
              </w:rPr>
            </w:pPr>
            <w:r>
              <w:rPr>
                <w:w w:val="95"/>
                <w:sz w:val="20"/>
              </w:rPr>
              <w:t>A.17.1.1</w:t>
            </w:r>
          </w:p>
        </w:tc>
        <w:tc>
          <w:tcPr>
            <w:tcW w:w="3595" w:type="dxa"/>
          </w:tcPr>
          <w:p>
            <w:pPr>
              <w:pStyle w:val="TableParagraph"/>
              <w:spacing w:before="59"/>
              <w:ind w:right="399" w:hanging="1"/>
              <w:rPr>
                <w:sz w:val="20"/>
              </w:rPr>
            </w:pPr>
            <w:r>
              <w:rPr>
                <w:sz w:val="20"/>
              </w:rPr>
              <w:t>Planung zur Aufrechterhaltung der Informationssicherheit</w:t>
            </w:r>
          </w:p>
        </w:tc>
        <w:tc>
          <w:tcPr>
            <w:tcW w:w="5333" w:type="dxa"/>
            <w:gridSpan w:val="2"/>
            <w:tcBorders>
              <w:right w:val="single" w:sz="12" w:space="0" w:color="000000"/>
            </w:tcBorders>
          </w:tcPr>
          <w:p>
            <w:pPr>
              <w:pStyle w:val="TableParagraph"/>
              <w:rPr>
                <w:i/>
                <w:sz w:val="20"/>
              </w:rPr>
            </w:pPr>
            <w:r>
              <w:rPr>
                <w:i/>
                <w:sz w:val="20"/>
              </w:rPr>
              <w:t>Maßnahme</w:t>
            </w:r>
          </w:p>
          <w:p>
            <w:pPr>
              <w:pStyle w:val="TableParagraph"/>
              <w:spacing w:before="60"/>
              <w:ind w:right="76"/>
              <w:jc w:val="both"/>
              <w:rPr>
                <w:sz w:val="20"/>
              </w:rPr>
            </w:pPr>
            <w:r>
              <w:rPr>
                <w:sz w:val="20"/>
              </w:rPr>
              <w:t>Die Organisation bestimmt ihre Anforderungen an die Informationssicherheit und zur Aufrechterhaltung des Informationssicherheitsmanagements bei widrigen Situationen, z. B. Krise oder Katastrophe.</w:t>
            </w:r>
          </w:p>
        </w:tc>
      </w:tr>
      <w:tr>
        <w:trPr>
          <w:trHeight w:val="1559" w:hRule="atLeast"/>
        </w:trPr>
        <w:tc>
          <w:tcPr>
            <w:tcW w:w="962" w:type="dxa"/>
            <w:tcBorders>
              <w:left w:val="single" w:sz="12" w:space="0" w:color="000000"/>
            </w:tcBorders>
          </w:tcPr>
          <w:p>
            <w:pPr>
              <w:pStyle w:val="TableParagraph"/>
              <w:ind w:left="0" w:right="88"/>
              <w:jc w:val="right"/>
              <w:rPr>
                <w:sz w:val="20"/>
              </w:rPr>
            </w:pPr>
            <w:r>
              <w:rPr>
                <w:w w:val="95"/>
                <w:sz w:val="20"/>
              </w:rPr>
              <w:t>A.17.1.2</w:t>
            </w:r>
          </w:p>
        </w:tc>
        <w:tc>
          <w:tcPr>
            <w:tcW w:w="3595" w:type="dxa"/>
          </w:tcPr>
          <w:p>
            <w:pPr>
              <w:pStyle w:val="TableParagraph"/>
              <w:ind w:right="221"/>
              <w:rPr>
                <w:sz w:val="20"/>
              </w:rPr>
            </w:pPr>
            <w:r>
              <w:rPr>
                <w:sz w:val="20"/>
              </w:rPr>
              <w:t>Umsetzen der Aufrechterhaltung der Informationssicherheit</w:t>
            </w:r>
          </w:p>
        </w:tc>
        <w:tc>
          <w:tcPr>
            <w:tcW w:w="5333" w:type="dxa"/>
            <w:gridSpan w:val="2"/>
            <w:tcBorders>
              <w:right w:val="single" w:sz="12" w:space="0" w:color="000000"/>
            </w:tcBorders>
          </w:tcPr>
          <w:p>
            <w:pPr>
              <w:pStyle w:val="TableParagraph"/>
              <w:spacing w:before="54"/>
              <w:rPr>
                <w:i/>
                <w:sz w:val="20"/>
              </w:rPr>
            </w:pPr>
            <w:r>
              <w:rPr>
                <w:i/>
                <w:sz w:val="20"/>
              </w:rPr>
              <w:t>Maßnahme</w:t>
            </w:r>
          </w:p>
          <w:p>
            <w:pPr>
              <w:pStyle w:val="TableParagraph"/>
              <w:spacing w:before="63"/>
              <w:ind w:right="76"/>
              <w:jc w:val="both"/>
              <w:rPr>
                <w:sz w:val="20"/>
              </w:rPr>
            </w:pPr>
            <w:r>
              <w:rPr>
                <w:sz w:val="20"/>
              </w:rPr>
              <w:t>Die Organisation legt Prozesse, Verfahren und Maßnahmen fest, dokumentiert, setzt sie um und erhält diese aufrecht, um das erforderliche Niveau an Informationssicherheit in einer widrigen Situation aufrechterhalten zu können.</w:t>
            </w:r>
          </w:p>
        </w:tc>
      </w:tr>
      <w:tr>
        <w:trPr>
          <w:trHeight w:val="1561" w:hRule="atLeast"/>
        </w:trPr>
        <w:tc>
          <w:tcPr>
            <w:tcW w:w="962" w:type="dxa"/>
            <w:tcBorders>
              <w:left w:val="single" w:sz="12" w:space="0" w:color="000000"/>
            </w:tcBorders>
          </w:tcPr>
          <w:p>
            <w:pPr>
              <w:pStyle w:val="TableParagraph"/>
              <w:ind w:left="0" w:right="88"/>
              <w:jc w:val="right"/>
              <w:rPr>
                <w:sz w:val="20"/>
              </w:rPr>
            </w:pPr>
            <w:r>
              <w:rPr>
                <w:w w:val="95"/>
                <w:sz w:val="20"/>
              </w:rPr>
              <w:t>A.17.1.3</w:t>
            </w:r>
          </w:p>
        </w:tc>
        <w:tc>
          <w:tcPr>
            <w:tcW w:w="3595" w:type="dxa"/>
          </w:tcPr>
          <w:p>
            <w:pPr>
              <w:pStyle w:val="TableParagraph"/>
              <w:ind w:right="810"/>
              <w:rPr>
                <w:sz w:val="20"/>
              </w:rPr>
            </w:pPr>
            <w:r>
              <w:rPr>
                <w:sz w:val="20"/>
              </w:rPr>
              <w:t>Überprüfen und Bewerten der Aufrechterhaltung der Informationssicherheit</w:t>
            </w:r>
          </w:p>
        </w:tc>
        <w:tc>
          <w:tcPr>
            <w:tcW w:w="5333" w:type="dxa"/>
            <w:gridSpan w:val="2"/>
            <w:tcBorders>
              <w:right w:val="single" w:sz="12" w:space="0" w:color="000000"/>
            </w:tcBorders>
          </w:tcPr>
          <w:p>
            <w:pPr>
              <w:pStyle w:val="TableParagraph"/>
              <w:spacing w:before="54"/>
              <w:rPr>
                <w:i/>
                <w:sz w:val="20"/>
              </w:rPr>
            </w:pPr>
            <w:r>
              <w:rPr>
                <w:i/>
                <w:sz w:val="20"/>
              </w:rPr>
              <w:t>Maßnahme</w:t>
            </w:r>
          </w:p>
          <w:p>
            <w:pPr>
              <w:pStyle w:val="TableParagraph"/>
              <w:spacing w:before="63"/>
              <w:ind w:right="77"/>
              <w:jc w:val="both"/>
              <w:rPr>
                <w:sz w:val="20"/>
              </w:rPr>
            </w:pPr>
            <w:r>
              <w:rPr>
                <w:sz w:val="20"/>
              </w:rPr>
              <w:t>Die Organisation überprüft in regelmäßigen Abständen die festgelegten und umgesetzten Maßnahmen zur Aufrechterhaltung der Informationssicherheit, um sicherzustellen dass diese gültig und in widrigen Situationen wirksam</w:t>
            </w:r>
            <w:r>
              <w:rPr>
                <w:spacing w:val="4"/>
                <w:sz w:val="20"/>
              </w:rPr>
              <w:t> </w:t>
            </w:r>
            <w:r>
              <w:rPr>
                <w:sz w:val="20"/>
              </w:rPr>
              <w:t>sind.</w:t>
            </w:r>
          </w:p>
        </w:tc>
      </w:tr>
    </w:tbl>
    <w:p>
      <w:pPr>
        <w:spacing w:after="0"/>
        <w:jc w:val="both"/>
        <w:rPr>
          <w:sz w:val="20"/>
        </w:rPr>
        <w:sectPr>
          <w:pgSz w:w="11910" w:h="16840"/>
          <w:pgMar w:header="710" w:footer="120" w:top="1540" w:bottom="320" w:left="260" w:right="540"/>
        </w:sectPr>
      </w:pPr>
    </w:p>
    <w:p>
      <w:pPr>
        <w:pStyle w:val="BodyText"/>
        <w:spacing w:before="8"/>
        <w:rPr>
          <w:sz w:val="8"/>
        </w:rPr>
      </w:pPr>
      <w:r>
        <w:rPr/>
        <w:pict>
          <v:shape style="position:absolute;margin-left:9.663086pt;margin-top:739.23053pt;width:9.85pt;height:83.7pt;mso-position-horizontal-relative:page;mso-position-vertical-relative:page;z-index:251691008"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p>
    <w:tbl>
      <w:tblPr>
        <w:tblW w:w="0" w:type="auto"/>
        <w:jc w:val="left"/>
        <w:tblInd w:w="1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62"/>
        <w:gridCol w:w="88"/>
        <w:gridCol w:w="3422"/>
        <w:gridCol w:w="84"/>
        <w:gridCol w:w="5333"/>
      </w:tblGrid>
      <w:tr>
        <w:trPr>
          <w:trHeight w:val="640" w:hRule="atLeast"/>
        </w:trPr>
        <w:tc>
          <w:tcPr>
            <w:tcW w:w="9889" w:type="dxa"/>
            <w:gridSpan w:val="5"/>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A.17.2</w:t>
              <w:tab/>
              <w:t>Redundanzen</w:t>
            </w:r>
          </w:p>
          <w:p>
            <w:pPr>
              <w:pStyle w:val="TableParagraph"/>
              <w:spacing w:before="63"/>
              <w:ind w:left="109"/>
              <w:rPr>
                <w:sz w:val="20"/>
              </w:rPr>
            </w:pPr>
            <w:r>
              <w:rPr>
                <w:sz w:val="20"/>
              </w:rPr>
              <w:t>Ziel: Die Verfügbarkeit von informationsverarbeitenden Einrichtungen ist sichergestellt.</w:t>
            </w:r>
          </w:p>
        </w:tc>
      </w:tr>
      <w:tr>
        <w:trPr>
          <w:trHeight w:val="1098" w:hRule="atLeast"/>
        </w:trPr>
        <w:tc>
          <w:tcPr>
            <w:tcW w:w="962" w:type="dxa"/>
            <w:tcBorders>
              <w:left w:val="single" w:sz="12" w:space="0" w:color="000000"/>
            </w:tcBorders>
          </w:tcPr>
          <w:p>
            <w:pPr>
              <w:pStyle w:val="TableParagraph"/>
              <w:ind w:left="109"/>
              <w:rPr>
                <w:sz w:val="20"/>
              </w:rPr>
            </w:pPr>
            <w:r>
              <w:rPr>
                <w:sz w:val="20"/>
              </w:rPr>
              <w:t>A.17.2.1</w:t>
            </w:r>
          </w:p>
        </w:tc>
        <w:tc>
          <w:tcPr>
            <w:tcW w:w="3594" w:type="dxa"/>
            <w:gridSpan w:val="3"/>
          </w:tcPr>
          <w:p>
            <w:pPr>
              <w:pStyle w:val="TableParagraph"/>
              <w:ind w:left="117" w:right="206"/>
              <w:rPr>
                <w:sz w:val="20"/>
              </w:rPr>
            </w:pPr>
            <w:r>
              <w:rPr>
                <w:sz w:val="20"/>
              </w:rPr>
              <w:t>Verfügbarkeit von </w:t>
            </w:r>
            <w:r>
              <w:rPr>
                <w:w w:val="95"/>
                <w:sz w:val="20"/>
              </w:rPr>
              <w:t>informationsverarbeitenden </w:t>
            </w:r>
            <w:r>
              <w:rPr>
                <w:sz w:val="20"/>
              </w:rPr>
              <w:t>Einrichtungen</w:t>
            </w:r>
          </w:p>
        </w:tc>
        <w:tc>
          <w:tcPr>
            <w:tcW w:w="5333" w:type="dxa"/>
            <w:tcBorders>
              <w:right w:val="single" w:sz="12" w:space="0" w:color="000000"/>
            </w:tcBorders>
          </w:tcPr>
          <w:p>
            <w:pPr>
              <w:pStyle w:val="TableParagraph"/>
              <w:spacing w:before="54"/>
              <w:ind w:left="116"/>
              <w:rPr>
                <w:i/>
                <w:sz w:val="20"/>
              </w:rPr>
            </w:pPr>
            <w:r>
              <w:rPr>
                <w:i/>
                <w:sz w:val="20"/>
              </w:rPr>
              <w:t>Maßnahme</w:t>
            </w:r>
          </w:p>
          <w:p>
            <w:pPr>
              <w:pStyle w:val="TableParagraph"/>
              <w:spacing w:before="63"/>
              <w:ind w:left="116" w:right="76"/>
              <w:jc w:val="both"/>
              <w:rPr>
                <w:sz w:val="20"/>
              </w:rPr>
            </w:pPr>
            <w:r>
              <w:rPr>
                <w:sz w:val="20"/>
              </w:rPr>
              <w:t>Informationsverarbeitende Einrichtungen werden mit ausreichender Redundanz zur Einhaltung der Verfügbarkeitsanforderungen realisiert.</w:t>
            </w:r>
          </w:p>
        </w:tc>
      </w:tr>
      <w:tr>
        <w:trPr>
          <w:trHeight w:val="352" w:hRule="atLeast"/>
        </w:trPr>
        <w:tc>
          <w:tcPr>
            <w:tcW w:w="9889" w:type="dxa"/>
            <w:gridSpan w:val="5"/>
            <w:tcBorders>
              <w:left w:val="single" w:sz="12" w:space="0" w:color="000000"/>
              <w:right w:val="single" w:sz="12" w:space="0" w:color="000000"/>
            </w:tcBorders>
          </w:tcPr>
          <w:p>
            <w:pPr>
              <w:pStyle w:val="TableParagraph"/>
              <w:tabs>
                <w:tab w:pos="908" w:val="left" w:leader="none"/>
              </w:tabs>
              <w:ind w:left="109"/>
              <w:rPr>
                <w:b/>
                <w:sz w:val="20"/>
              </w:rPr>
            </w:pPr>
            <w:r>
              <w:rPr>
                <w:b/>
                <w:sz w:val="20"/>
              </w:rPr>
              <w:t>A.18</w:t>
              <w:tab/>
              <w:t>Compliance</w:t>
            </w:r>
          </w:p>
        </w:tc>
      </w:tr>
      <w:tr>
        <w:trPr>
          <w:trHeight w:val="868" w:hRule="atLeast"/>
        </w:trPr>
        <w:tc>
          <w:tcPr>
            <w:tcW w:w="9889" w:type="dxa"/>
            <w:gridSpan w:val="5"/>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A.18.1</w:t>
              <w:tab/>
              <w:t>Einhaltung gesetzlicher und vertraglicher</w:t>
            </w:r>
            <w:r>
              <w:rPr>
                <w:b/>
                <w:spacing w:val="1"/>
                <w:sz w:val="20"/>
              </w:rPr>
              <w:t> </w:t>
            </w:r>
            <w:r>
              <w:rPr>
                <w:b/>
                <w:sz w:val="20"/>
              </w:rPr>
              <w:t>Anforderungen</w:t>
            </w:r>
          </w:p>
          <w:p>
            <w:pPr>
              <w:pStyle w:val="TableParagraph"/>
              <w:spacing w:before="63"/>
              <w:ind w:left="109" w:right="72"/>
              <w:rPr>
                <w:sz w:val="20"/>
              </w:rPr>
            </w:pPr>
            <w:r>
              <w:rPr>
                <w:sz w:val="20"/>
              </w:rPr>
              <w:t>Ziel: Verstöße gegen gesetzliche, regulatorische, selbstauferlegte oder vertragliche Verpflichtungen mit Bezug auf Informationssicherheit und gegen jegliche Sicherheitsanforderungen sind vermieden.</w:t>
            </w:r>
          </w:p>
        </w:tc>
      </w:tr>
      <w:tr>
        <w:trPr>
          <w:trHeight w:val="2020" w:hRule="atLeast"/>
        </w:trPr>
        <w:tc>
          <w:tcPr>
            <w:tcW w:w="962" w:type="dxa"/>
            <w:tcBorders>
              <w:left w:val="single" w:sz="12" w:space="0" w:color="000000"/>
            </w:tcBorders>
          </w:tcPr>
          <w:p>
            <w:pPr>
              <w:pStyle w:val="TableParagraph"/>
              <w:spacing w:before="59"/>
              <w:ind w:left="109"/>
              <w:rPr>
                <w:sz w:val="20"/>
              </w:rPr>
            </w:pPr>
            <w:r>
              <w:rPr>
                <w:sz w:val="20"/>
              </w:rPr>
              <w:t>A.18.1.1</w:t>
            </w:r>
          </w:p>
        </w:tc>
        <w:tc>
          <w:tcPr>
            <w:tcW w:w="3594" w:type="dxa"/>
            <w:gridSpan w:val="3"/>
          </w:tcPr>
          <w:p>
            <w:pPr>
              <w:pStyle w:val="TableParagraph"/>
              <w:spacing w:before="59"/>
              <w:ind w:left="117" w:right="206"/>
              <w:rPr>
                <w:sz w:val="20"/>
              </w:rPr>
            </w:pPr>
            <w:r>
              <w:rPr>
                <w:sz w:val="20"/>
              </w:rPr>
              <w:t>Bestimmung der anwendbaren Gesetzgebung und der vertraglichen Anforderungen</w:t>
            </w:r>
          </w:p>
        </w:tc>
        <w:tc>
          <w:tcPr>
            <w:tcW w:w="5333" w:type="dxa"/>
            <w:tcBorders>
              <w:right w:val="single" w:sz="12" w:space="0" w:color="000000"/>
            </w:tcBorders>
          </w:tcPr>
          <w:p>
            <w:pPr>
              <w:pStyle w:val="TableParagraph"/>
              <w:ind w:left="116"/>
              <w:rPr>
                <w:i/>
                <w:sz w:val="20"/>
              </w:rPr>
            </w:pPr>
            <w:r>
              <w:rPr>
                <w:i/>
                <w:sz w:val="20"/>
              </w:rPr>
              <w:t>Maßnahme</w:t>
            </w:r>
          </w:p>
          <w:p>
            <w:pPr>
              <w:pStyle w:val="TableParagraph"/>
              <w:spacing w:before="60"/>
              <w:ind w:left="116" w:right="77"/>
              <w:jc w:val="both"/>
              <w:rPr>
                <w:sz w:val="20"/>
              </w:rPr>
            </w:pPr>
            <w:r>
              <w:rPr>
                <w:sz w:val="20"/>
              </w:rPr>
              <w:t>Alle relevanten gesetzlichen, regulatorischen, selbstauferlegten oder vertraglichen Anforderungen sowie das Vorgehen der Organisation zur Einhaltung dieser Anforderungen sind für jedes Informationssystem und die Organisation ausdrücklich bestimmt und dokumentiert und werden auf dem neuesten Stand gehalten.</w:t>
            </w:r>
          </w:p>
        </w:tc>
      </w:tr>
      <w:tr>
        <w:trPr>
          <w:trHeight w:val="1789" w:hRule="atLeast"/>
        </w:trPr>
        <w:tc>
          <w:tcPr>
            <w:tcW w:w="962" w:type="dxa"/>
            <w:tcBorders>
              <w:left w:val="single" w:sz="12" w:space="0" w:color="000000"/>
            </w:tcBorders>
          </w:tcPr>
          <w:p>
            <w:pPr>
              <w:pStyle w:val="TableParagraph"/>
              <w:ind w:left="109"/>
              <w:rPr>
                <w:sz w:val="20"/>
              </w:rPr>
            </w:pPr>
            <w:r>
              <w:rPr>
                <w:sz w:val="20"/>
              </w:rPr>
              <w:t>A.18.1.2</w:t>
            </w:r>
          </w:p>
        </w:tc>
        <w:tc>
          <w:tcPr>
            <w:tcW w:w="3594" w:type="dxa"/>
            <w:gridSpan w:val="3"/>
          </w:tcPr>
          <w:p>
            <w:pPr>
              <w:pStyle w:val="TableParagraph"/>
              <w:ind w:left="117"/>
              <w:rPr>
                <w:sz w:val="20"/>
              </w:rPr>
            </w:pPr>
            <w:r>
              <w:rPr>
                <w:sz w:val="20"/>
              </w:rPr>
              <w:t>Geistige Eigentumsrechte</w:t>
            </w:r>
          </w:p>
        </w:tc>
        <w:tc>
          <w:tcPr>
            <w:tcW w:w="5333" w:type="dxa"/>
            <w:tcBorders>
              <w:right w:val="single" w:sz="12" w:space="0" w:color="000000"/>
            </w:tcBorders>
          </w:tcPr>
          <w:p>
            <w:pPr>
              <w:pStyle w:val="TableParagraph"/>
              <w:spacing w:before="54"/>
              <w:ind w:left="116"/>
              <w:rPr>
                <w:i/>
                <w:sz w:val="20"/>
              </w:rPr>
            </w:pPr>
            <w:r>
              <w:rPr>
                <w:i/>
                <w:sz w:val="20"/>
              </w:rPr>
              <w:t>Maßnahme</w:t>
            </w:r>
          </w:p>
          <w:p>
            <w:pPr>
              <w:pStyle w:val="TableParagraph"/>
              <w:spacing w:before="63"/>
              <w:ind w:left="116" w:right="74"/>
              <w:jc w:val="both"/>
              <w:rPr>
                <w:sz w:val="20"/>
              </w:rPr>
            </w:pPr>
            <w:r>
              <w:rPr>
                <w:sz w:val="20"/>
              </w:rPr>
              <w:t>Es sind angemessene Verfahren umgesetzt, mit denen die Einhaltung gesetzlicher, regulatorischer und vertraglicher Anforderungen mit Bezug auf geistige Eigentumsrechte und der Verwendung von urheberrechtlich geschützten Softwareprodukten sichergestellt ist.</w:t>
            </w:r>
          </w:p>
        </w:tc>
      </w:tr>
      <w:tr>
        <w:trPr>
          <w:trHeight w:val="1561" w:hRule="atLeast"/>
        </w:trPr>
        <w:tc>
          <w:tcPr>
            <w:tcW w:w="962" w:type="dxa"/>
            <w:tcBorders>
              <w:left w:val="single" w:sz="12" w:space="0" w:color="000000"/>
            </w:tcBorders>
          </w:tcPr>
          <w:p>
            <w:pPr>
              <w:pStyle w:val="TableParagraph"/>
              <w:spacing w:before="59"/>
              <w:ind w:left="109"/>
              <w:rPr>
                <w:sz w:val="20"/>
              </w:rPr>
            </w:pPr>
            <w:r>
              <w:rPr>
                <w:sz w:val="20"/>
              </w:rPr>
              <w:t>A.18.1.3</w:t>
            </w:r>
          </w:p>
        </w:tc>
        <w:tc>
          <w:tcPr>
            <w:tcW w:w="3594" w:type="dxa"/>
            <w:gridSpan w:val="3"/>
          </w:tcPr>
          <w:p>
            <w:pPr>
              <w:pStyle w:val="TableParagraph"/>
              <w:spacing w:before="59"/>
              <w:ind w:left="117"/>
              <w:rPr>
                <w:sz w:val="20"/>
              </w:rPr>
            </w:pPr>
            <w:r>
              <w:rPr>
                <w:sz w:val="20"/>
              </w:rPr>
              <w:t>Schutz von Aufzeichnungen</w:t>
            </w:r>
          </w:p>
        </w:tc>
        <w:tc>
          <w:tcPr>
            <w:tcW w:w="5333" w:type="dxa"/>
            <w:tcBorders>
              <w:right w:val="single" w:sz="12" w:space="0" w:color="000000"/>
            </w:tcBorders>
          </w:tcPr>
          <w:p>
            <w:pPr>
              <w:pStyle w:val="TableParagraph"/>
              <w:ind w:left="116"/>
              <w:rPr>
                <w:i/>
                <w:sz w:val="20"/>
              </w:rPr>
            </w:pPr>
            <w:r>
              <w:rPr>
                <w:i/>
                <w:sz w:val="20"/>
              </w:rPr>
              <w:t>Maßnahme</w:t>
            </w:r>
          </w:p>
          <w:p>
            <w:pPr>
              <w:pStyle w:val="TableParagraph"/>
              <w:spacing w:before="60"/>
              <w:ind w:left="116" w:right="78"/>
              <w:jc w:val="both"/>
              <w:rPr>
                <w:sz w:val="20"/>
              </w:rPr>
            </w:pPr>
            <w:r>
              <w:rPr>
                <w:sz w:val="20"/>
              </w:rPr>
              <w:t>Aufzeichnungen sind gemäß gesetzlichen, regulatorischen, vertraglichen und geschäftlichen Anforderungen vor Verlust, Zerstörung, Fälschung, unbefugtem Zugriff und unbefugter Veröffentlichung geschützt.</w:t>
            </w:r>
          </w:p>
        </w:tc>
      </w:tr>
      <w:tr>
        <w:trPr>
          <w:trHeight w:val="1328" w:hRule="atLeast"/>
        </w:trPr>
        <w:tc>
          <w:tcPr>
            <w:tcW w:w="962" w:type="dxa"/>
            <w:tcBorders>
              <w:left w:val="single" w:sz="12" w:space="0" w:color="000000"/>
            </w:tcBorders>
          </w:tcPr>
          <w:p>
            <w:pPr>
              <w:pStyle w:val="TableParagraph"/>
              <w:ind w:left="109"/>
              <w:rPr>
                <w:sz w:val="20"/>
              </w:rPr>
            </w:pPr>
            <w:r>
              <w:rPr>
                <w:sz w:val="20"/>
              </w:rPr>
              <w:t>A.18.1.4</w:t>
            </w:r>
          </w:p>
        </w:tc>
        <w:tc>
          <w:tcPr>
            <w:tcW w:w="3594" w:type="dxa"/>
            <w:gridSpan w:val="3"/>
          </w:tcPr>
          <w:p>
            <w:pPr>
              <w:pStyle w:val="TableParagraph"/>
              <w:ind w:left="117" w:right="606"/>
              <w:rPr>
                <w:sz w:val="20"/>
              </w:rPr>
            </w:pPr>
            <w:r>
              <w:rPr>
                <w:sz w:val="20"/>
              </w:rPr>
              <w:t>Privatsphäre und Schutz von personenbezogener Information</w:t>
            </w:r>
          </w:p>
        </w:tc>
        <w:tc>
          <w:tcPr>
            <w:tcW w:w="5333" w:type="dxa"/>
            <w:tcBorders>
              <w:right w:val="single" w:sz="12" w:space="0" w:color="000000"/>
            </w:tcBorders>
          </w:tcPr>
          <w:p>
            <w:pPr>
              <w:pStyle w:val="TableParagraph"/>
              <w:spacing w:before="54"/>
              <w:ind w:left="116"/>
              <w:rPr>
                <w:i/>
                <w:sz w:val="20"/>
              </w:rPr>
            </w:pPr>
            <w:r>
              <w:rPr>
                <w:i/>
                <w:sz w:val="20"/>
              </w:rPr>
              <w:t>Maßnahme</w:t>
            </w:r>
          </w:p>
          <w:p>
            <w:pPr>
              <w:pStyle w:val="TableParagraph"/>
              <w:spacing w:before="63"/>
              <w:ind w:left="116" w:right="76"/>
              <w:jc w:val="both"/>
              <w:rPr>
                <w:sz w:val="20"/>
              </w:rPr>
            </w:pPr>
            <w:r>
              <w:rPr>
                <w:sz w:val="20"/>
              </w:rPr>
              <w:t>Die Privatsphäre und der Schutz von personenbezogener Information sind, soweit anwendbar, entsprechend den Anforderungen der relevanten Gesetze und Vorschriften sichergestellt.</w:t>
            </w:r>
          </w:p>
        </w:tc>
      </w:tr>
      <w:tr>
        <w:trPr>
          <w:trHeight w:val="1101" w:hRule="atLeast"/>
        </w:trPr>
        <w:tc>
          <w:tcPr>
            <w:tcW w:w="962" w:type="dxa"/>
            <w:tcBorders>
              <w:left w:val="single" w:sz="12" w:space="0" w:color="000000"/>
            </w:tcBorders>
          </w:tcPr>
          <w:p>
            <w:pPr>
              <w:pStyle w:val="TableParagraph"/>
              <w:ind w:left="109"/>
              <w:rPr>
                <w:sz w:val="20"/>
              </w:rPr>
            </w:pPr>
            <w:r>
              <w:rPr>
                <w:sz w:val="20"/>
              </w:rPr>
              <w:t>A.18.1.5</w:t>
            </w:r>
          </w:p>
        </w:tc>
        <w:tc>
          <w:tcPr>
            <w:tcW w:w="3594" w:type="dxa"/>
            <w:gridSpan w:val="3"/>
          </w:tcPr>
          <w:p>
            <w:pPr>
              <w:pStyle w:val="TableParagraph"/>
              <w:ind w:left="117" w:right="674"/>
              <w:rPr>
                <w:sz w:val="20"/>
              </w:rPr>
            </w:pPr>
            <w:r>
              <w:rPr>
                <w:sz w:val="20"/>
              </w:rPr>
              <w:t>Regelungen bezüglich kryptographischer Maßnahmen</w:t>
            </w:r>
          </w:p>
        </w:tc>
        <w:tc>
          <w:tcPr>
            <w:tcW w:w="5333" w:type="dxa"/>
            <w:tcBorders>
              <w:right w:val="single" w:sz="12" w:space="0" w:color="000000"/>
            </w:tcBorders>
          </w:tcPr>
          <w:p>
            <w:pPr>
              <w:pStyle w:val="TableParagraph"/>
              <w:spacing w:before="54"/>
              <w:ind w:left="116"/>
              <w:rPr>
                <w:i/>
                <w:sz w:val="20"/>
              </w:rPr>
            </w:pPr>
            <w:r>
              <w:rPr>
                <w:i/>
                <w:sz w:val="20"/>
              </w:rPr>
              <w:t>Maßnahme</w:t>
            </w:r>
          </w:p>
          <w:p>
            <w:pPr>
              <w:pStyle w:val="TableParagraph"/>
              <w:spacing w:before="63"/>
              <w:ind w:left="116" w:right="77"/>
              <w:jc w:val="both"/>
              <w:rPr>
                <w:sz w:val="20"/>
              </w:rPr>
            </w:pPr>
            <w:r>
              <w:rPr>
                <w:sz w:val="20"/>
              </w:rPr>
              <w:t>Kryptographische Maßnahmen werden unter Einhaltung aller relevanten Vereinbarungen, Gesetze und Vorschriften angewandt.</w:t>
            </w:r>
          </w:p>
        </w:tc>
      </w:tr>
      <w:tr>
        <w:trPr>
          <w:trHeight w:val="868" w:hRule="atLeast"/>
        </w:trPr>
        <w:tc>
          <w:tcPr>
            <w:tcW w:w="9889" w:type="dxa"/>
            <w:gridSpan w:val="5"/>
            <w:tcBorders>
              <w:left w:val="single" w:sz="12" w:space="0" w:color="000000"/>
              <w:right w:val="single" w:sz="12" w:space="0" w:color="000000"/>
            </w:tcBorders>
          </w:tcPr>
          <w:p>
            <w:pPr>
              <w:pStyle w:val="TableParagraph"/>
              <w:tabs>
                <w:tab w:pos="908" w:val="left" w:leader="none"/>
              </w:tabs>
              <w:spacing w:before="54"/>
              <w:ind w:left="109"/>
              <w:rPr>
                <w:b/>
                <w:sz w:val="20"/>
              </w:rPr>
            </w:pPr>
            <w:r>
              <w:rPr>
                <w:b/>
                <w:sz w:val="20"/>
              </w:rPr>
              <w:t>A.18.2</w:t>
              <w:tab/>
              <w:t>Überprüfungen der</w:t>
            </w:r>
            <w:r>
              <w:rPr>
                <w:b/>
                <w:spacing w:val="-1"/>
                <w:sz w:val="20"/>
              </w:rPr>
              <w:t> </w:t>
            </w:r>
            <w:r>
              <w:rPr>
                <w:b/>
                <w:sz w:val="20"/>
              </w:rPr>
              <w:t>Informationssicherheit</w:t>
            </w:r>
          </w:p>
          <w:p>
            <w:pPr>
              <w:pStyle w:val="TableParagraph"/>
              <w:spacing w:before="63"/>
              <w:ind w:left="109"/>
              <w:rPr>
                <w:sz w:val="20"/>
              </w:rPr>
            </w:pPr>
            <w:r>
              <w:rPr>
                <w:sz w:val="20"/>
              </w:rPr>
              <w:t>Ziel: Informationssicherheit ist in Übereinstimmung mit den Richtlinien und Verfahren der Organisation umgesetzt und wird entsprechend angewendet.</w:t>
            </w:r>
          </w:p>
        </w:tc>
      </w:tr>
      <w:tr>
        <w:trPr>
          <w:trHeight w:val="1791" w:hRule="atLeast"/>
        </w:trPr>
        <w:tc>
          <w:tcPr>
            <w:tcW w:w="1050" w:type="dxa"/>
            <w:gridSpan w:val="2"/>
            <w:tcBorders>
              <w:left w:val="single" w:sz="12" w:space="0" w:color="000000"/>
              <w:bottom w:val="single" w:sz="12" w:space="0" w:color="000000"/>
            </w:tcBorders>
          </w:tcPr>
          <w:p>
            <w:pPr>
              <w:pStyle w:val="TableParagraph"/>
              <w:spacing w:before="59"/>
              <w:ind w:left="109"/>
              <w:rPr>
                <w:sz w:val="20"/>
              </w:rPr>
            </w:pPr>
            <w:r>
              <w:rPr>
                <w:sz w:val="20"/>
              </w:rPr>
              <w:t>A.18.2.1</w:t>
            </w:r>
          </w:p>
        </w:tc>
        <w:tc>
          <w:tcPr>
            <w:tcW w:w="3422" w:type="dxa"/>
            <w:tcBorders>
              <w:bottom w:val="single" w:sz="12" w:space="0" w:color="000000"/>
            </w:tcBorders>
          </w:tcPr>
          <w:p>
            <w:pPr>
              <w:pStyle w:val="TableParagraph"/>
              <w:spacing w:before="59"/>
              <w:ind w:left="116"/>
              <w:rPr>
                <w:sz w:val="20"/>
              </w:rPr>
            </w:pPr>
            <w:r>
              <w:rPr>
                <w:sz w:val="20"/>
              </w:rPr>
              <w:t>Unabhängige Überprüfung der Informationssicherheit</w:t>
            </w:r>
          </w:p>
        </w:tc>
        <w:tc>
          <w:tcPr>
            <w:tcW w:w="5417" w:type="dxa"/>
            <w:gridSpan w:val="2"/>
            <w:tcBorders>
              <w:bottom w:val="single" w:sz="12" w:space="0" w:color="000000"/>
              <w:right w:val="single" w:sz="12" w:space="0" w:color="000000"/>
            </w:tcBorders>
          </w:tcPr>
          <w:p>
            <w:pPr>
              <w:pStyle w:val="TableParagraph"/>
              <w:ind w:left="116"/>
              <w:rPr>
                <w:i/>
                <w:sz w:val="20"/>
              </w:rPr>
            </w:pPr>
            <w:r>
              <w:rPr>
                <w:i/>
                <w:sz w:val="20"/>
              </w:rPr>
              <w:t>Maßnahme</w:t>
            </w:r>
          </w:p>
          <w:p>
            <w:pPr>
              <w:pStyle w:val="TableParagraph"/>
              <w:spacing w:before="60"/>
              <w:ind w:left="116" w:right="77"/>
              <w:jc w:val="both"/>
              <w:rPr>
                <w:sz w:val="20"/>
              </w:rPr>
            </w:pPr>
            <w:r>
              <w:rPr>
                <w:sz w:val="20"/>
              </w:rPr>
              <w:t>Die Vorgehensweise der Organisation für die Handhabung der Informationssicherheit und deren Umsetzung (d. h. Maßnahmenziele, Maßnahmen, Richtlinien, Prozesse und Verfahren zur Informationssicherheit) werden auf unabhängige Weise in planmäßigen Abständen oder jeweils bei erheblichen Änderungen überprüft.</w:t>
            </w:r>
          </w:p>
        </w:tc>
      </w:tr>
    </w:tbl>
    <w:p>
      <w:pPr>
        <w:spacing w:after="0"/>
        <w:jc w:val="both"/>
        <w:rPr>
          <w:sz w:val="20"/>
        </w:rPr>
        <w:sectPr>
          <w:pgSz w:w="11910" w:h="16840"/>
          <w:pgMar w:header="710" w:footer="120" w:top="1540" w:bottom="320" w:left="260" w:right="540"/>
        </w:sectPr>
      </w:pPr>
    </w:p>
    <w:p>
      <w:pPr>
        <w:pStyle w:val="BodyText"/>
        <w:spacing w:before="8"/>
        <w:rPr>
          <w:sz w:val="8"/>
        </w:rPr>
      </w:pPr>
      <w:r>
        <w:rPr/>
        <w:pict>
          <v:shape style="position:absolute;margin-left:9.663086pt;margin-top:739.23053pt;width:9.85pt;height:83.7pt;mso-position-horizontal-relative:page;mso-position-vertical-relative:page;z-index:251692032"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p>
    <w:tbl>
      <w:tblPr>
        <w:tblW w:w="0" w:type="auto"/>
        <w:jc w:val="left"/>
        <w:tblInd w:w="4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051"/>
        <w:gridCol w:w="3422"/>
        <w:gridCol w:w="5416"/>
      </w:tblGrid>
      <w:tr>
        <w:trPr>
          <w:trHeight w:val="1789" w:hRule="atLeast"/>
        </w:trPr>
        <w:tc>
          <w:tcPr>
            <w:tcW w:w="1051" w:type="dxa"/>
            <w:tcBorders>
              <w:bottom w:val="single" w:sz="6" w:space="0" w:color="000000"/>
              <w:right w:val="single" w:sz="6" w:space="0" w:color="000000"/>
            </w:tcBorders>
          </w:tcPr>
          <w:p>
            <w:pPr>
              <w:pStyle w:val="TableParagraph"/>
              <w:spacing w:before="56"/>
              <w:ind w:left="87" w:right="156"/>
              <w:jc w:val="center"/>
              <w:rPr>
                <w:sz w:val="20"/>
              </w:rPr>
            </w:pPr>
            <w:r>
              <w:rPr>
                <w:sz w:val="20"/>
              </w:rPr>
              <w:t>A.18.2.2</w:t>
            </w:r>
          </w:p>
        </w:tc>
        <w:tc>
          <w:tcPr>
            <w:tcW w:w="3422" w:type="dxa"/>
            <w:tcBorders>
              <w:left w:val="single" w:sz="6" w:space="0" w:color="000000"/>
              <w:bottom w:val="single" w:sz="6" w:space="0" w:color="000000"/>
              <w:right w:val="single" w:sz="6" w:space="0" w:color="000000"/>
            </w:tcBorders>
          </w:tcPr>
          <w:p>
            <w:pPr>
              <w:pStyle w:val="TableParagraph"/>
              <w:tabs>
                <w:tab w:pos="2987" w:val="left" w:leader="none"/>
              </w:tabs>
              <w:spacing w:line="290" w:lineRule="exact" w:before="12"/>
              <w:ind w:right="86" w:hanging="1"/>
              <w:rPr>
                <w:sz w:val="20"/>
              </w:rPr>
            </w:pPr>
            <w:r>
              <w:rPr>
                <w:sz w:val="20"/>
              </w:rPr>
              <w:t>Einhaltung  von Sicherheitsrichtlinien</w:t>
              <w:tab/>
            </w:r>
            <w:r>
              <w:rPr>
                <w:spacing w:val="-7"/>
                <w:sz w:val="20"/>
              </w:rPr>
              <w:t>und</w:t>
            </w:r>
          </w:p>
          <w:p>
            <w:pPr>
              <w:pStyle w:val="TableParagraph"/>
              <w:spacing w:line="215" w:lineRule="exact" w:before="0"/>
              <w:rPr>
                <w:sz w:val="20"/>
              </w:rPr>
            </w:pPr>
            <w:r>
              <w:rPr>
                <w:sz w:val="20"/>
              </w:rPr>
              <w:t>-standards</w:t>
            </w:r>
          </w:p>
        </w:tc>
        <w:tc>
          <w:tcPr>
            <w:tcW w:w="5416" w:type="dxa"/>
            <w:tcBorders>
              <w:left w:val="single" w:sz="6" w:space="0" w:color="000000"/>
              <w:bottom w:val="single" w:sz="6" w:space="0" w:color="000000"/>
            </w:tcBorders>
          </w:tcPr>
          <w:p>
            <w:pPr>
              <w:pStyle w:val="TableParagraph"/>
              <w:spacing w:before="54"/>
              <w:rPr>
                <w:i/>
                <w:sz w:val="20"/>
              </w:rPr>
            </w:pPr>
            <w:r>
              <w:rPr>
                <w:i/>
                <w:sz w:val="20"/>
              </w:rPr>
              <w:t>Maßnahme</w:t>
            </w:r>
          </w:p>
          <w:p>
            <w:pPr>
              <w:pStyle w:val="TableParagraph"/>
              <w:tabs>
                <w:tab w:pos="1692" w:val="left" w:leader="none"/>
                <w:tab w:pos="2615" w:val="left" w:leader="none"/>
                <w:tab w:pos="3582" w:val="left" w:leader="none"/>
                <w:tab w:pos="3847" w:val="left" w:leader="none"/>
                <w:tab w:pos="5027" w:val="left" w:leader="none"/>
              </w:tabs>
              <w:spacing w:before="63"/>
              <w:ind w:right="77"/>
              <w:jc w:val="both"/>
              <w:rPr>
                <w:sz w:val="20"/>
              </w:rPr>
            </w:pPr>
            <w:r>
              <w:rPr>
                <w:sz w:val="20"/>
              </w:rPr>
              <w:t>Leitende Angestellte überprüfen regelmäßig die Einhaltung</w:t>
              <w:tab/>
              <w:t>der</w:t>
              <w:tab/>
              <w:t>jeweils</w:t>
              <w:tab/>
              <w:tab/>
            </w:r>
            <w:r>
              <w:rPr>
                <w:w w:val="95"/>
                <w:sz w:val="20"/>
              </w:rPr>
              <w:t>anzuwendenden </w:t>
            </w:r>
            <w:r>
              <w:rPr>
                <w:sz w:val="20"/>
              </w:rPr>
              <w:t>Sicherheitsrichtlinien, Standards und jeglicher sonstiger Sicherheitsanforderungen</w:t>
              <w:tab/>
              <w:tab/>
            </w:r>
            <w:r>
              <w:rPr>
                <w:spacing w:val="-1"/>
                <w:w w:val="95"/>
                <w:sz w:val="20"/>
              </w:rPr>
              <w:t>bei</w:t>
              <w:tab/>
            </w:r>
            <w:r>
              <w:rPr>
                <w:sz w:val="20"/>
              </w:rPr>
              <w:t>der Informationsverarbeitung und den Verfahren in ihrem Verantwortungsbereich.</w:t>
            </w:r>
          </w:p>
        </w:tc>
      </w:tr>
      <w:tr>
        <w:trPr>
          <w:trHeight w:val="1100" w:hRule="atLeast"/>
        </w:trPr>
        <w:tc>
          <w:tcPr>
            <w:tcW w:w="1051" w:type="dxa"/>
            <w:tcBorders>
              <w:top w:val="single" w:sz="6" w:space="0" w:color="000000"/>
              <w:right w:val="single" w:sz="6" w:space="0" w:color="000000"/>
            </w:tcBorders>
          </w:tcPr>
          <w:p>
            <w:pPr>
              <w:pStyle w:val="TableParagraph"/>
              <w:spacing w:before="59"/>
              <w:ind w:left="87" w:right="156"/>
              <w:jc w:val="center"/>
              <w:rPr>
                <w:sz w:val="20"/>
              </w:rPr>
            </w:pPr>
            <w:r>
              <w:rPr>
                <w:sz w:val="20"/>
              </w:rPr>
              <w:t>A.18.2.3</w:t>
            </w:r>
          </w:p>
        </w:tc>
        <w:tc>
          <w:tcPr>
            <w:tcW w:w="3422" w:type="dxa"/>
            <w:tcBorders>
              <w:top w:val="single" w:sz="6" w:space="0" w:color="000000"/>
              <w:left w:val="single" w:sz="6" w:space="0" w:color="000000"/>
              <w:right w:val="single" w:sz="6" w:space="0" w:color="000000"/>
            </w:tcBorders>
          </w:tcPr>
          <w:p>
            <w:pPr>
              <w:pStyle w:val="TableParagraph"/>
              <w:spacing w:before="59"/>
              <w:rPr>
                <w:sz w:val="20"/>
              </w:rPr>
            </w:pPr>
            <w:r>
              <w:rPr>
                <w:sz w:val="20"/>
              </w:rPr>
              <w:t>Überprüfung der Einhaltung von technischen Vorgaben</w:t>
            </w:r>
          </w:p>
        </w:tc>
        <w:tc>
          <w:tcPr>
            <w:tcW w:w="5416" w:type="dxa"/>
            <w:tcBorders>
              <w:top w:val="single" w:sz="6" w:space="0" w:color="000000"/>
              <w:left w:val="single" w:sz="6" w:space="0" w:color="000000"/>
            </w:tcBorders>
          </w:tcPr>
          <w:p>
            <w:pPr>
              <w:pStyle w:val="TableParagraph"/>
              <w:rPr>
                <w:i/>
                <w:sz w:val="20"/>
              </w:rPr>
            </w:pPr>
            <w:r>
              <w:rPr>
                <w:i/>
                <w:sz w:val="20"/>
              </w:rPr>
              <w:t>Maßnahme</w:t>
            </w:r>
          </w:p>
          <w:p>
            <w:pPr>
              <w:pStyle w:val="TableParagraph"/>
              <w:spacing w:before="60"/>
              <w:ind w:right="76" w:hanging="1"/>
              <w:jc w:val="both"/>
              <w:rPr>
                <w:sz w:val="20"/>
              </w:rPr>
            </w:pPr>
            <w:r>
              <w:rPr>
                <w:sz w:val="20"/>
              </w:rPr>
              <w:t>Informationssysteme werden regelmäßig auf Einhaltung der Informationssicherheitsrichtlinien und -standards der Organisation überprüft.</w:t>
            </w:r>
          </w:p>
        </w:tc>
      </w:tr>
    </w:tbl>
    <w:p>
      <w:pPr>
        <w:spacing w:after="0"/>
        <w:jc w:val="both"/>
        <w:rPr>
          <w:sz w:val="20"/>
        </w:rPr>
        <w:sectPr>
          <w:pgSz w:w="11910" w:h="16840"/>
          <w:pgMar w:header="710" w:footer="120" w:top="1540" w:bottom="320" w:left="260" w:right="540"/>
        </w:sectPr>
      </w:pPr>
    </w:p>
    <w:p>
      <w:pPr>
        <w:pStyle w:val="Heading1"/>
        <w:spacing w:before="85"/>
        <w:ind w:right="1452"/>
      </w:pPr>
      <w:r>
        <w:rPr/>
        <w:pict>
          <v:shape style="position:absolute;margin-left:9.663086pt;margin-top:739.23053pt;width:9.85pt;height:83.7pt;mso-position-horizontal-relative:page;mso-position-vertical-relative:page;z-index:251693056" type="#_x0000_t202" filled="false" stroked="false">
            <v:textbox inset="0,0,0,0" style="layout-flow:vertical;mso-layout-flow-alt:bottom-to-top">
              <w:txbxContent>
                <w:p>
                  <w:pPr>
                    <w:spacing w:before="15"/>
                    <w:ind w:left="20" w:right="0" w:firstLine="0"/>
                    <w:jc w:val="left"/>
                    <w:rPr>
                      <w:b/>
                      <w:i/>
                      <w:sz w:val="14"/>
                    </w:rPr>
                  </w:pPr>
                  <w:r>
                    <w:rPr>
                      <w:b/>
                      <w:i/>
                      <w:color w:val="4C4C4C"/>
                      <w:sz w:val="14"/>
                    </w:rPr>
                    <w:t>NormCD - Stand 2015-03</w:t>
                  </w:r>
                </w:p>
              </w:txbxContent>
            </v:textbox>
            <w10:wrap type="none"/>
          </v:shape>
        </w:pict>
      </w:r>
      <w:bookmarkStart w:name="Literaturhinweise" w:id="130"/>
      <w:bookmarkEnd w:id="130"/>
      <w:r>
        <w:rPr>
          <w:b w:val="0"/>
        </w:rPr>
      </w:r>
      <w:bookmarkStart w:name="_bookmark42" w:id="131"/>
      <w:bookmarkEnd w:id="131"/>
      <w:r>
        <w:rPr>
          <w:b w:val="0"/>
        </w:rPr>
      </w:r>
      <w:r>
        <w:rPr/>
        <w:t>Literaturhinweise</w:t>
      </w:r>
    </w:p>
    <w:p>
      <w:pPr>
        <w:pStyle w:val="BodyText"/>
        <w:rPr>
          <w:b/>
          <w:sz w:val="30"/>
        </w:rPr>
      </w:pPr>
    </w:p>
    <w:p>
      <w:pPr>
        <w:pStyle w:val="BodyText"/>
        <w:spacing w:before="11"/>
        <w:rPr>
          <w:b/>
          <w:sz w:val="35"/>
        </w:rPr>
      </w:pPr>
    </w:p>
    <w:p>
      <w:pPr>
        <w:pStyle w:val="ListParagraph"/>
        <w:numPr>
          <w:ilvl w:val="0"/>
          <w:numId w:val="22"/>
        </w:numPr>
        <w:tabs>
          <w:tab w:pos="1813" w:val="left" w:leader="none"/>
          <w:tab w:pos="1814" w:val="left" w:leader="none"/>
        </w:tabs>
        <w:spacing w:line="240" w:lineRule="auto" w:before="0" w:after="0"/>
        <w:ind w:left="1813" w:right="201" w:hanging="658"/>
        <w:jc w:val="left"/>
        <w:rPr>
          <w:i/>
          <w:sz w:val="20"/>
        </w:rPr>
      </w:pPr>
      <w:r>
        <w:rPr>
          <w:sz w:val="20"/>
        </w:rPr>
        <w:t>ISO/IEC 27002:2013, </w:t>
      </w:r>
      <w:r>
        <w:rPr>
          <w:i/>
          <w:sz w:val="20"/>
        </w:rPr>
        <w:t>Information technology — Security Techniques — Code of practice for </w:t>
      </w:r>
      <w:r>
        <w:rPr>
          <w:i/>
          <w:sz w:val="20"/>
        </w:rPr>
        <w:t>information security</w:t>
      </w:r>
      <w:r>
        <w:rPr>
          <w:i/>
          <w:spacing w:val="-2"/>
          <w:sz w:val="20"/>
        </w:rPr>
        <w:t> </w:t>
      </w:r>
      <w:r>
        <w:rPr>
          <w:i/>
          <w:sz w:val="20"/>
        </w:rPr>
        <w:t>management</w:t>
      </w:r>
    </w:p>
    <w:p>
      <w:pPr>
        <w:pStyle w:val="BodyText"/>
        <w:spacing w:before="8"/>
        <w:rPr>
          <w:i/>
        </w:rPr>
      </w:pPr>
    </w:p>
    <w:p>
      <w:pPr>
        <w:pStyle w:val="ListParagraph"/>
        <w:numPr>
          <w:ilvl w:val="0"/>
          <w:numId w:val="22"/>
        </w:numPr>
        <w:tabs>
          <w:tab w:pos="1813" w:val="left" w:leader="none"/>
          <w:tab w:pos="1814" w:val="left" w:leader="none"/>
        </w:tabs>
        <w:spacing w:line="240" w:lineRule="auto" w:before="1" w:after="0"/>
        <w:ind w:left="1813" w:right="198" w:hanging="658"/>
        <w:jc w:val="left"/>
        <w:rPr>
          <w:i/>
          <w:sz w:val="20"/>
        </w:rPr>
      </w:pPr>
      <w:r>
        <w:rPr>
          <w:sz w:val="20"/>
        </w:rPr>
        <w:t>ISO/IEC 27003, </w:t>
      </w:r>
      <w:r>
        <w:rPr>
          <w:i/>
          <w:sz w:val="20"/>
        </w:rPr>
        <w:t>Information technology — Security Techniques — Information security management </w:t>
      </w:r>
      <w:r>
        <w:rPr>
          <w:i/>
          <w:sz w:val="20"/>
        </w:rPr>
        <w:t>system implementation</w:t>
      </w:r>
      <w:r>
        <w:rPr>
          <w:i/>
          <w:spacing w:val="-1"/>
          <w:sz w:val="20"/>
        </w:rPr>
        <w:t> </w:t>
      </w:r>
      <w:r>
        <w:rPr>
          <w:i/>
          <w:sz w:val="20"/>
        </w:rPr>
        <w:t>guidance</w:t>
      </w:r>
    </w:p>
    <w:p>
      <w:pPr>
        <w:pStyle w:val="BodyText"/>
        <w:spacing w:before="10"/>
        <w:rPr>
          <w:i/>
        </w:rPr>
      </w:pPr>
    </w:p>
    <w:p>
      <w:pPr>
        <w:pStyle w:val="ListParagraph"/>
        <w:numPr>
          <w:ilvl w:val="0"/>
          <w:numId w:val="22"/>
        </w:numPr>
        <w:tabs>
          <w:tab w:pos="1813" w:val="left" w:leader="none"/>
          <w:tab w:pos="1814" w:val="left" w:leader="none"/>
        </w:tabs>
        <w:spacing w:line="240" w:lineRule="auto" w:before="0" w:after="0"/>
        <w:ind w:left="1813" w:right="0" w:hanging="658"/>
        <w:jc w:val="left"/>
        <w:rPr>
          <w:i/>
          <w:sz w:val="20"/>
        </w:rPr>
      </w:pPr>
      <w:r>
        <w:rPr>
          <w:sz w:val="20"/>
        </w:rPr>
        <w:t>ISO/IEC 27004, </w:t>
      </w:r>
      <w:r>
        <w:rPr>
          <w:i/>
          <w:sz w:val="20"/>
        </w:rPr>
        <w:t>Information technology — Security Techniques — Information security</w:t>
      </w:r>
      <w:r>
        <w:rPr>
          <w:i/>
          <w:spacing w:val="6"/>
          <w:sz w:val="20"/>
        </w:rPr>
        <w:t> </w:t>
      </w:r>
      <w:r>
        <w:rPr>
          <w:i/>
          <w:sz w:val="20"/>
        </w:rPr>
        <w:t>management</w:t>
      </w:r>
    </w:p>
    <w:p>
      <w:pPr>
        <w:spacing w:before="1"/>
        <w:ind w:left="1814" w:right="0" w:firstLine="0"/>
        <w:jc w:val="left"/>
        <w:rPr>
          <w:i/>
          <w:sz w:val="20"/>
        </w:rPr>
      </w:pPr>
      <w:r>
        <w:rPr>
          <w:i/>
          <w:sz w:val="20"/>
        </w:rPr>
        <w:t>— Measurement</w:t>
      </w:r>
    </w:p>
    <w:p>
      <w:pPr>
        <w:pStyle w:val="BodyText"/>
        <w:spacing w:before="10"/>
        <w:rPr>
          <w:i/>
        </w:rPr>
      </w:pPr>
    </w:p>
    <w:p>
      <w:pPr>
        <w:pStyle w:val="ListParagraph"/>
        <w:numPr>
          <w:ilvl w:val="0"/>
          <w:numId w:val="22"/>
        </w:numPr>
        <w:tabs>
          <w:tab w:pos="1814" w:val="left" w:leader="none"/>
          <w:tab w:pos="1815" w:val="left" w:leader="none"/>
        </w:tabs>
        <w:spacing w:line="240" w:lineRule="auto" w:before="0" w:after="0"/>
        <w:ind w:left="1814" w:right="195" w:hanging="659"/>
        <w:jc w:val="left"/>
        <w:rPr>
          <w:i/>
          <w:sz w:val="20"/>
        </w:rPr>
      </w:pPr>
      <w:r>
        <w:rPr>
          <w:sz w:val="20"/>
        </w:rPr>
        <w:t>ISO/IEC 27005, </w:t>
      </w:r>
      <w:r>
        <w:rPr>
          <w:i/>
          <w:sz w:val="20"/>
        </w:rPr>
        <w:t>Information technology — Security Techniques — Information security risk </w:t>
      </w:r>
      <w:r>
        <w:rPr>
          <w:i/>
          <w:sz w:val="20"/>
        </w:rPr>
        <w:t>management</w:t>
      </w:r>
    </w:p>
    <w:p>
      <w:pPr>
        <w:pStyle w:val="BodyText"/>
        <w:spacing w:before="8"/>
        <w:rPr>
          <w:i/>
        </w:rPr>
      </w:pPr>
    </w:p>
    <w:p>
      <w:pPr>
        <w:pStyle w:val="ListParagraph"/>
        <w:numPr>
          <w:ilvl w:val="0"/>
          <w:numId w:val="22"/>
        </w:numPr>
        <w:tabs>
          <w:tab w:pos="1814" w:val="left" w:leader="none"/>
          <w:tab w:pos="1815" w:val="left" w:leader="none"/>
        </w:tabs>
        <w:spacing w:line="240" w:lineRule="auto" w:before="1" w:after="0"/>
        <w:ind w:left="1814" w:right="0" w:hanging="658"/>
        <w:jc w:val="left"/>
        <w:rPr>
          <w:i/>
          <w:sz w:val="20"/>
        </w:rPr>
      </w:pPr>
      <w:r>
        <w:rPr>
          <w:sz w:val="20"/>
        </w:rPr>
        <w:t>ISO 31000:2009, </w:t>
      </w:r>
      <w:r>
        <w:rPr>
          <w:i/>
          <w:sz w:val="20"/>
        </w:rPr>
        <w:t>Risk Management — Principles and</w:t>
      </w:r>
      <w:r>
        <w:rPr>
          <w:i/>
          <w:spacing w:val="7"/>
          <w:sz w:val="20"/>
        </w:rPr>
        <w:t> </w:t>
      </w:r>
      <w:r>
        <w:rPr>
          <w:i/>
          <w:sz w:val="20"/>
        </w:rPr>
        <w:t>guidelines</w:t>
      </w:r>
    </w:p>
    <w:p>
      <w:pPr>
        <w:pStyle w:val="BodyText"/>
        <w:spacing w:before="10"/>
        <w:rPr>
          <w:i/>
        </w:rPr>
      </w:pPr>
    </w:p>
    <w:p>
      <w:pPr>
        <w:pStyle w:val="ListParagraph"/>
        <w:numPr>
          <w:ilvl w:val="0"/>
          <w:numId w:val="22"/>
        </w:numPr>
        <w:tabs>
          <w:tab w:pos="1814" w:val="left" w:leader="none"/>
          <w:tab w:pos="1815" w:val="left" w:leader="none"/>
        </w:tabs>
        <w:spacing w:line="240" w:lineRule="auto" w:before="0" w:after="0"/>
        <w:ind w:left="1814" w:right="0" w:hanging="659"/>
        <w:jc w:val="left"/>
        <w:rPr>
          <w:i/>
          <w:sz w:val="20"/>
        </w:rPr>
      </w:pPr>
      <w:r>
        <w:rPr>
          <w:sz w:val="20"/>
        </w:rPr>
        <w:t>ISO/IEC Directives, </w:t>
      </w:r>
      <w:r>
        <w:rPr>
          <w:i/>
          <w:sz w:val="20"/>
        </w:rPr>
        <w:t>Part 1 Consolidated ISO Supplement — Procedures specific to</w:t>
      </w:r>
      <w:r>
        <w:rPr>
          <w:i/>
          <w:spacing w:val="-13"/>
          <w:sz w:val="20"/>
        </w:rPr>
        <w:t> </w:t>
      </w:r>
      <w:r>
        <w:rPr>
          <w:i/>
          <w:sz w:val="20"/>
        </w:rPr>
        <w:t>ISO:2012</w:t>
      </w:r>
    </w:p>
    <w:sectPr>
      <w:pgSz w:w="11910" w:h="16840"/>
      <w:pgMar w:header="710" w:footer="120" w:top="1540" w:bottom="320" w:left="260" w:right="5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3.840pt;margin-top:800.330566pt;width:12.15pt;height:14.35pt;mso-position-horizontal-relative:page;mso-position-vertical-relative:page;z-index:-254716928" type="#_x0000_t202" filled="false" stroked="false">
          <v:textbox inset="0,0,0,0">
            <w:txbxContent>
              <w:p>
                <w:pPr>
                  <w:spacing w:before="13"/>
                  <w:ind w:left="60" w:right="0" w:firstLine="0"/>
                  <w:jc w:val="left"/>
                  <w:rPr>
                    <w:b/>
                    <w:sz w:val="22"/>
                  </w:rPr>
                </w:pPr>
                <w:r>
                  <w:rPr/>
                  <w:fldChar w:fldCharType="begin"/>
                </w:r>
                <w:r>
                  <w:rPr>
                    <w:b/>
                    <w:w w:val="100"/>
                    <w:sz w:val="22"/>
                  </w:rPr>
                  <w:instrText> PAGE </w:instrText>
                </w:r>
                <w:r>
                  <w:rPr/>
                  <w:fldChar w:fldCharType="separate"/>
                </w:r>
                <w:r>
                  <w:rPr/>
                  <w:t>2</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3.840pt;margin-top:800.330566pt;width:12.15pt;height:14.35pt;mso-position-horizontal-relative:page;mso-position-vertical-relative:page;z-index:-254713856" type="#_x0000_t202" filled="false" stroked="false">
          <v:textbox inset="0,0,0,0">
            <w:txbxContent>
              <w:p>
                <w:pPr>
                  <w:spacing w:before="13"/>
                  <w:ind w:left="60" w:right="0" w:firstLine="0"/>
                  <w:jc w:val="left"/>
                  <w:rPr>
                    <w:b/>
                    <w:sz w:val="22"/>
                  </w:rPr>
                </w:pPr>
                <w:r>
                  <w:rPr/>
                  <w:fldChar w:fldCharType="begin"/>
                </w:r>
                <w:r>
                  <w:rPr>
                    <w:b/>
                    <w:w w:val="100"/>
                    <w:sz w:val="22"/>
                  </w:rPr>
                  <w:instrText> PAGE </w:instrText>
                </w:r>
                <w:r>
                  <w:rPr/>
                  <w:fldChar w:fldCharType="separate"/>
                </w:r>
                <w:r>
                  <w:rPr/>
                  <w:t>4</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3.840pt;margin-top:800.330566pt;width:12.15pt;height:14.35pt;mso-position-horizontal-relative:page;mso-position-vertical-relative:page;z-index:-254710784" type="#_x0000_t202" filled="false" stroked="false">
          <v:textbox inset="0,0,0,0">
            <w:txbxContent>
              <w:p>
                <w:pPr>
                  <w:spacing w:before="13"/>
                  <w:ind w:left="60" w:right="0" w:firstLine="0"/>
                  <w:jc w:val="left"/>
                  <w:rPr>
                    <w:b/>
                    <w:sz w:val="22"/>
                  </w:rPr>
                </w:pPr>
                <w:r>
                  <w:rPr/>
                  <w:fldChar w:fldCharType="begin"/>
                </w:r>
                <w:r>
                  <w:rPr>
                    <w:b/>
                    <w:w w:val="100"/>
                    <w:sz w:val="22"/>
                  </w:rPr>
                  <w:instrText> PAGE </w:instrText>
                </w:r>
                <w:r>
                  <w:rPr/>
                  <w:fldChar w:fldCharType="separate"/>
                </w:r>
                <w:r>
                  <w:rPr/>
                  <w:t>6</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3.840pt;margin-top:800.330566pt;width:18.25pt;height:14.35pt;mso-position-horizontal-relative:page;mso-position-vertical-relative:page;z-index:-254695424" type="#_x0000_t202" filled="false" stroked="false">
          <v:textbox inset="0,0,0,0">
            <w:txbxContent>
              <w:p>
                <w:pPr>
                  <w:spacing w:before="13"/>
                  <w:ind w:left="60" w:right="0" w:firstLine="0"/>
                  <w:jc w:val="left"/>
                  <w:rPr>
                    <w:b/>
                    <w:sz w:val="22"/>
                  </w:rPr>
                </w:pPr>
                <w:r>
                  <w:rPr/>
                  <w:fldChar w:fldCharType="begin"/>
                </w:r>
                <w:r>
                  <w:rPr>
                    <w:b/>
                    <w:sz w:val="22"/>
                  </w:rPr>
                  <w:instrText> PAGE </w:instrText>
                </w:r>
                <w:r>
                  <w:rPr/>
                  <w:fldChar w:fldCharType="separate"/>
                </w:r>
                <w:r>
                  <w:rPr/>
                  <w:t>14</w:t>
                </w:r>
                <w:r>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3.840pt;margin-top:800.330566pt;width:18.25pt;height:14.35pt;mso-position-horizontal-relative:page;mso-position-vertical-relative:page;z-index:-254692352" type="#_x0000_t202" filled="false" stroked="false">
          <v:textbox inset="0,0,0,0">
            <w:txbxContent>
              <w:p>
                <w:pPr>
                  <w:spacing w:before="13"/>
                  <w:ind w:left="60" w:right="0" w:firstLine="0"/>
                  <w:jc w:val="left"/>
                  <w:rPr>
                    <w:b/>
                    <w:sz w:val="22"/>
                  </w:rPr>
                </w:pPr>
                <w:r>
                  <w:rPr/>
                  <w:fldChar w:fldCharType="begin"/>
                </w:r>
                <w:r>
                  <w:rPr>
                    <w:b/>
                    <w:sz w:val="22"/>
                  </w:rPr>
                  <w:instrText> PAGE </w:instrText>
                </w:r>
                <w:r>
                  <w:rPr/>
                  <w:fldChar w:fldCharType="separate"/>
                </w:r>
                <w:r>
                  <w:rPr/>
                  <w:t>16</w:t>
                </w:r>
                <w:r>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3.840pt;margin-top:800.330566pt;width:18.25pt;height:14.35pt;mso-position-horizontal-relative:page;mso-position-vertical-relative:page;z-index:-254689280" type="#_x0000_t202" filled="false" stroked="false">
          <v:textbox inset="0,0,0,0">
            <w:txbxContent>
              <w:p>
                <w:pPr>
                  <w:spacing w:before="13"/>
                  <w:ind w:left="60" w:right="0" w:firstLine="0"/>
                  <w:jc w:val="left"/>
                  <w:rPr>
                    <w:b/>
                    <w:sz w:val="22"/>
                  </w:rPr>
                </w:pPr>
                <w:r>
                  <w:rPr/>
                  <w:fldChar w:fldCharType="begin"/>
                </w:r>
                <w:r>
                  <w:rPr>
                    <w:b/>
                    <w:sz w:val="22"/>
                  </w:rPr>
                  <w:instrText> PAGE </w:instrText>
                </w:r>
                <w:r>
                  <w:rPr/>
                  <w:fldChar w:fldCharType="separate"/>
                </w:r>
                <w:r>
                  <w:rPr/>
                  <w:t>18</w:t>
                </w:r>
                <w:r>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43.117615pt;margin-top:800.330566pt;width:18.25pt;height:14.35pt;mso-position-horizontal-relative:page;mso-position-vertical-relative:page;z-index:-254688256" type="#_x0000_t202" filled="false" stroked="false">
          <v:textbox inset="0,0,0,0">
            <w:txbxContent>
              <w:p>
                <w:pPr>
                  <w:spacing w:before="13"/>
                  <w:ind w:left="60" w:right="0" w:firstLine="0"/>
                  <w:jc w:val="left"/>
                  <w:rPr>
                    <w:b/>
                    <w:sz w:val="22"/>
                  </w:rPr>
                </w:pPr>
                <w:r>
                  <w:rPr/>
                  <w:fldChar w:fldCharType="begin"/>
                </w:r>
                <w:r>
                  <w:rPr>
                    <w:b/>
                    <w:sz w:val="22"/>
                  </w:rPr>
                  <w:instrText> PAGE </w:instrText>
                </w:r>
                <w:r>
                  <w:rPr/>
                  <w:fldChar w:fldCharType="separate"/>
                </w:r>
                <w:r>
                  <w:rPr/>
                  <w:t>19</w:t>
                </w:r>
                <w:r>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5.840pt;margin-top:34.485764pt;width:142.050pt;height:14.35pt;mso-position-horizontal-relative:page;mso-position-vertical-relative:page;z-index:-254718976"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17.440002pt;margin-top:34.485764pt;width:142.050pt;height:14.35pt;mso-position-horizontal-relative:page;mso-position-vertical-relative:page;z-index:-254717952"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5.840pt;margin-top:34.485764pt;width:142.050pt;height:14.35pt;mso-position-horizontal-relative:page;mso-position-vertical-relative:page;z-index:-254715904"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17.440002pt;margin-top:34.485764pt;width:142.050pt;height:14.35pt;mso-position-horizontal-relative:page;mso-position-vertical-relative:page;z-index:-254714880"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5.840pt;margin-top:34.485764pt;width:142.050pt;height:14.35pt;mso-position-horizontal-relative:page;mso-position-vertical-relative:page;z-index:-254712832"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17.440002pt;margin-top:34.485764pt;width:142.050pt;height:14.35pt;mso-position-horizontal-relative:page;mso-position-vertical-relative:page;z-index:-254711808"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5.840pt;margin-top:34.485764pt;width:142.050pt;height:14.35pt;mso-position-horizontal-relative:page;mso-position-vertical-relative:page;z-index:-254709760"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17.440002pt;margin-top:34.485764pt;width:142.050pt;height:14.35pt;mso-position-horizontal-relative:page;mso-position-vertical-relative:page;z-index:-254708736"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17.440002pt;margin-top:34.485764pt;width:142.050pt;height:14.35pt;mso-position-horizontal-relative:page;mso-position-vertical-relative:page;z-index:-254707712"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5.840pt;margin-top:34.485764pt;width:142.050pt;height:14.35pt;mso-position-horizontal-relative:page;mso-position-vertical-relative:page;z-index:-254706688"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5.840pt;margin-top:34.485764pt;width:142.050pt;height:14.35pt;mso-position-horizontal-relative:page;mso-position-vertical-relative:page;z-index:-254705664"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17.440002pt;margin-top:34.485764pt;width:142.050pt;height:14.35pt;mso-position-horizontal-relative:page;mso-position-vertical-relative:page;z-index:-254704640"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17.440002pt;margin-top:34.485764pt;width:142.050pt;height:14.35pt;mso-position-horizontal-relative:page;mso-position-vertical-relative:page;z-index:-254703616"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5.840pt;margin-top:34.485764pt;width:142.050pt;height:14.35pt;mso-position-horizontal-relative:page;mso-position-vertical-relative:page;z-index:-254702592"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5.840pt;margin-top:34.485764pt;width:142.050pt;height:14.35pt;mso-position-horizontal-relative:page;mso-position-vertical-relative:page;z-index:-254701568"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17.440002pt;margin-top:34.485764pt;width:142.050pt;height:14.35pt;mso-position-horizontal-relative:page;mso-position-vertical-relative:page;z-index:-254700544"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17.440002pt;margin-top:34.485764pt;width:142.050pt;height:14.35pt;mso-position-horizontal-relative:page;mso-position-vertical-relative:page;z-index:-254699520"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5.840pt;margin-top:34.485764pt;width:142.050pt;height:14.35pt;mso-position-horizontal-relative:page;mso-position-vertical-relative:page;z-index:-254698496"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5.840pt;margin-top:34.485764pt;width:142.050pt;height:14.35pt;mso-position-horizontal-relative:page;mso-position-vertical-relative:page;z-index:-254697472"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17.440002pt;margin-top:34.485764pt;width:142.050pt;height:14.35pt;mso-position-horizontal-relative:page;mso-position-vertical-relative:page;z-index:-254696448"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5.840pt;margin-top:34.485764pt;width:142.050pt;height:14.35pt;mso-position-horizontal-relative:page;mso-position-vertical-relative:page;z-index:-254694400"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17.440002pt;margin-top:34.485764pt;width:142.050pt;height:14.35pt;mso-position-horizontal-relative:page;mso-position-vertical-relative:page;z-index:-254693376"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5.840pt;margin-top:34.485764pt;width:142.050pt;height:14.35pt;mso-position-horizontal-relative:page;mso-position-vertical-relative:page;z-index:-254691328"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417.440002pt;margin-top:34.485764pt;width:142.050pt;height:14.35pt;mso-position-horizontal-relative:page;mso-position-vertical-relative:page;z-index:-254690304" type="#_x0000_t202" filled="false" stroked="false">
          <v:textbox inset="0,0,0,0">
            <w:txbxContent>
              <w:p>
                <w:pPr>
                  <w:spacing w:before="13"/>
                  <w:ind w:left="20" w:right="0" w:firstLine="0"/>
                  <w:jc w:val="left"/>
                  <w:rPr>
                    <w:b/>
                    <w:sz w:val="22"/>
                  </w:rPr>
                </w:pPr>
                <w:r>
                  <w:rPr>
                    <w:b/>
                    <w:sz w:val="22"/>
                  </w:rPr>
                  <w:t>DIN ISO/IEC 27001:2015-03</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1813" w:hanging="658"/>
        <w:jc w:val="left"/>
      </w:pPr>
      <w:rPr>
        <w:rFonts w:hint="default" w:ascii="Arial" w:hAnsi="Arial" w:eastAsia="Arial" w:cs="Arial"/>
        <w:spacing w:val="-1"/>
        <w:w w:val="99"/>
        <w:sz w:val="20"/>
        <w:szCs w:val="20"/>
      </w:rPr>
    </w:lvl>
    <w:lvl w:ilvl="1">
      <w:start w:val="0"/>
      <w:numFmt w:val="bullet"/>
      <w:lvlText w:val="•"/>
      <w:lvlJc w:val="left"/>
      <w:pPr>
        <w:ind w:left="2080" w:hanging="658"/>
      </w:pPr>
      <w:rPr>
        <w:rFonts w:hint="default"/>
      </w:rPr>
    </w:lvl>
    <w:lvl w:ilvl="2">
      <w:start w:val="0"/>
      <w:numFmt w:val="bullet"/>
      <w:lvlText w:val="•"/>
      <w:lvlJc w:val="left"/>
      <w:pPr>
        <w:ind w:left="3082" w:hanging="658"/>
      </w:pPr>
      <w:rPr>
        <w:rFonts w:hint="default"/>
      </w:rPr>
    </w:lvl>
    <w:lvl w:ilvl="3">
      <w:start w:val="0"/>
      <w:numFmt w:val="bullet"/>
      <w:lvlText w:val="•"/>
      <w:lvlJc w:val="left"/>
      <w:pPr>
        <w:ind w:left="4085" w:hanging="658"/>
      </w:pPr>
      <w:rPr>
        <w:rFonts w:hint="default"/>
      </w:rPr>
    </w:lvl>
    <w:lvl w:ilvl="4">
      <w:start w:val="0"/>
      <w:numFmt w:val="bullet"/>
      <w:lvlText w:val="•"/>
      <w:lvlJc w:val="left"/>
      <w:pPr>
        <w:ind w:left="5088" w:hanging="658"/>
      </w:pPr>
      <w:rPr>
        <w:rFonts w:hint="default"/>
      </w:rPr>
    </w:lvl>
    <w:lvl w:ilvl="5">
      <w:start w:val="0"/>
      <w:numFmt w:val="bullet"/>
      <w:lvlText w:val="•"/>
      <w:lvlJc w:val="left"/>
      <w:pPr>
        <w:ind w:left="6091" w:hanging="658"/>
      </w:pPr>
      <w:rPr>
        <w:rFonts w:hint="default"/>
      </w:rPr>
    </w:lvl>
    <w:lvl w:ilvl="6">
      <w:start w:val="0"/>
      <w:numFmt w:val="bullet"/>
      <w:lvlText w:val="•"/>
      <w:lvlJc w:val="left"/>
      <w:pPr>
        <w:ind w:left="7094" w:hanging="658"/>
      </w:pPr>
      <w:rPr>
        <w:rFonts w:hint="default"/>
      </w:rPr>
    </w:lvl>
    <w:lvl w:ilvl="7">
      <w:start w:val="0"/>
      <w:numFmt w:val="bullet"/>
      <w:lvlText w:val="•"/>
      <w:lvlJc w:val="left"/>
      <w:pPr>
        <w:ind w:left="8097" w:hanging="658"/>
      </w:pPr>
      <w:rPr>
        <w:rFonts w:hint="default"/>
      </w:rPr>
    </w:lvl>
    <w:lvl w:ilvl="8">
      <w:start w:val="0"/>
      <w:numFmt w:val="bullet"/>
      <w:lvlText w:val="•"/>
      <w:lvlJc w:val="left"/>
      <w:pPr>
        <w:ind w:left="9100" w:hanging="658"/>
      </w:pPr>
      <w:rPr>
        <w:rFonts w:hint="default"/>
      </w:rPr>
    </w:lvl>
  </w:abstractNum>
  <w:abstractNum w:abstractNumId="20">
    <w:multiLevelType w:val="hybridMultilevel"/>
    <w:lvl w:ilvl="0">
      <w:start w:val="1"/>
      <w:numFmt w:val="lowerLetter"/>
      <w:lvlText w:val="%1)"/>
      <w:lvlJc w:val="left"/>
      <w:pPr>
        <w:ind w:left="1556" w:hanging="401"/>
        <w:jc w:val="left"/>
      </w:pPr>
      <w:rPr>
        <w:rFonts w:hint="default" w:ascii="Arial" w:hAnsi="Arial" w:eastAsia="Arial" w:cs="Arial"/>
        <w:spacing w:val="-1"/>
        <w:w w:val="99"/>
        <w:sz w:val="20"/>
        <w:szCs w:val="20"/>
      </w:rPr>
    </w:lvl>
    <w:lvl w:ilvl="1">
      <w:start w:val="1"/>
      <w:numFmt w:val="decimal"/>
      <w:lvlText w:val="%2)"/>
      <w:lvlJc w:val="left"/>
      <w:pPr>
        <w:ind w:left="1955" w:hanging="399"/>
        <w:jc w:val="left"/>
      </w:pPr>
      <w:rPr>
        <w:rFonts w:hint="default" w:ascii="Arial" w:hAnsi="Arial" w:eastAsia="Arial" w:cs="Arial"/>
        <w:spacing w:val="-1"/>
        <w:w w:val="99"/>
        <w:sz w:val="20"/>
        <w:szCs w:val="20"/>
      </w:rPr>
    </w:lvl>
    <w:lvl w:ilvl="2">
      <w:start w:val="0"/>
      <w:numFmt w:val="bullet"/>
      <w:lvlText w:val="•"/>
      <w:lvlJc w:val="left"/>
      <w:pPr>
        <w:ind w:left="2976" w:hanging="399"/>
      </w:pPr>
      <w:rPr>
        <w:rFonts w:hint="default"/>
      </w:rPr>
    </w:lvl>
    <w:lvl w:ilvl="3">
      <w:start w:val="0"/>
      <w:numFmt w:val="bullet"/>
      <w:lvlText w:val="•"/>
      <w:lvlJc w:val="left"/>
      <w:pPr>
        <w:ind w:left="3992" w:hanging="399"/>
      </w:pPr>
      <w:rPr>
        <w:rFonts w:hint="default"/>
      </w:rPr>
    </w:lvl>
    <w:lvl w:ilvl="4">
      <w:start w:val="0"/>
      <w:numFmt w:val="bullet"/>
      <w:lvlText w:val="•"/>
      <w:lvlJc w:val="left"/>
      <w:pPr>
        <w:ind w:left="5008" w:hanging="399"/>
      </w:pPr>
      <w:rPr>
        <w:rFonts w:hint="default"/>
      </w:rPr>
    </w:lvl>
    <w:lvl w:ilvl="5">
      <w:start w:val="0"/>
      <w:numFmt w:val="bullet"/>
      <w:lvlText w:val="•"/>
      <w:lvlJc w:val="left"/>
      <w:pPr>
        <w:ind w:left="6025" w:hanging="399"/>
      </w:pPr>
      <w:rPr>
        <w:rFonts w:hint="default"/>
      </w:rPr>
    </w:lvl>
    <w:lvl w:ilvl="6">
      <w:start w:val="0"/>
      <w:numFmt w:val="bullet"/>
      <w:lvlText w:val="•"/>
      <w:lvlJc w:val="left"/>
      <w:pPr>
        <w:ind w:left="7041" w:hanging="399"/>
      </w:pPr>
      <w:rPr>
        <w:rFonts w:hint="default"/>
      </w:rPr>
    </w:lvl>
    <w:lvl w:ilvl="7">
      <w:start w:val="0"/>
      <w:numFmt w:val="bullet"/>
      <w:lvlText w:val="•"/>
      <w:lvlJc w:val="left"/>
      <w:pPr>
        <w:ind w:left="8057" w:hanging="399"/>
      </w:pPr>
      <w:rPr>
        <w:rFonts w:hint="default"/>
      </w:rPr>
    </w:lvl>
    <w:lvl w:ilvl="8">
      <w:start w:val="0"/>
      <w:numFmt w:val="bullet"/>
      <w:lvlText w:val="•"/>
      <w:lvlJc w:val="left"/>
      <w:pPr>
        <w:ind w:left="9073" w:hanging="399"/>
      </w:pPr>
      <w:rPr>
        <w:rFonts w:hint="default"/>
      </w:rPr>
    </w:lvl>
  </w:abstractNum>
  <w:abstractNum w:abstractNumId="19">
    <w:multiLevelType w:val="hybridMultilevel"/>
    <w:lvl w:ilvl="0">
      <w:start w:val="1"/>
      <w:numFmt w:val="lowerLetter"/>
      <w:lvlText w:val="%1)"/>
      <w:lvlJc w:val="left"/>
      <w:pPr>
        <w:ind w:left="877" w:hanging="401"/>
        <w:jc w:val="right"/>
      </w:pPr>
      <w:rPr>
        <w:rFonts w:hint="default" w:ascii="Arial" w:hAnsi="Arial" w:eastAsia="Arial" w:cs="Arial"/>
        <w:spacing w:val="-1"/>
        <w:w w:val="99"/>
        <w:sz w:val="20"/>
        <w:szCs w:val="20"/>
      </w:rPr>
    </w:lvl>
    <w:lvl w:ilvl="1">
      <w:start w:val="1"/>
      <w:numFmt w:val="decimal"/>
      <w:lvlText w:val="%2)"/>
      <w:lvlJc w:val="left"/>
      <w:pPr>
        <w:ind w:left="1955" w:hanging="399"/>
        <w:jc w:val="left"/>
      </w:pPr>
      <w:rPr>
        <w:rFonts w:hint="default" w:ascii="Arial" w:hAnsi="Arial" w:eastAsia="Arial" w:cs="Arial"/>
        <w:spacing w:val="-1"/>
        <w:w w:val="99"/>
        <w:sz w:val="20"/>
        <w:szCs w:val="20"/>
      </w:rPr>
    </w:lvl>
    <w:lvl w:ilvl="2">
      <w:start w:val="0"/>
      <w:numFmt w:val="bullet"/>
      <w:lvlText w:val="•"/>
      <w:lvlJc w:val="left"/>
      <w:pPr>
        <w:ind w:left="2976" w:hanging="399"/>
      </w:pPr>
      <w:rPr>
        <w:rFonts w:hint="default"/>
      </w:rPr>
    </w:lvl>
    <w:lvl w:ilvl="3">
      <w:start w:val="0"/>
      <w:numFmt w:val="bullet"/>
      <w:lvlText w:val="•"/>
      <w:lvlJc w:val="left"/>
      <w:pPr>
        <w:ind w:left="3992" w:hanging="399"/>
      </w:pPr>
      <w:rPr>
        <w:rFonts w:hint="default"/>
      </w:rPr>
    </w:lvl>
    <w:lvl w:ilvl="4">
      <w:start w:val="0"/>
      <w:numFmt w:val="bullet"/>
      <w:lvlText w:val="•"/>
      <w:lvlJc w:val="left"/>
      <w:pPr>
        <w:ind w:left="5008" w:hanging="399"/>
      </w:pPr>
      <w:rPr>
        <w:rFonts w:hint="default"/>
      </w:rPr>
    </w:lvl>
    <w:lvl w:ilvl="5">
      <w:start w:val="0"/>
      <w:numFmt w:val="bullet"/>
      <w:lvlText w:val="•"/>
      <w:lvlJc w:val="left"/>
      <w:pPr>
        <w:ind w:left="6025" w:hanging="399"/>
      </w:pPr>
      <w:rPr>
        <w:rFonts w:hint="default"/>
      </w:rPr>
    </w:lvl>
    <w:lvl w:ilvl="6">
      <w:start w:val="0"/>
      <w:numFmt w:val="bullet"/>
      <w:lvlText w:val="•"/>
      <w:lvlJc w:val="left"/>
      <w:pPr>
        <w:ind w:left="7041" w:hanging="399"/>
      </w:pPr>
      <w:rPr>
        <w:rFonts w:hint="default"/>
      </w:rPr>
    </w:lvl>
    <w:lvl w:ilvl="7">
      <w:start w:val="0"/>
      <w:numFmt w:val="bullet"/>
      <w:lvlText w:val="•"/>
      <w:lvlJc w:val="left"/>
      <w:pPr>
        <w:ind w:left="8057" w:hanging="399"/>
      </w:pPr>
      <w:rPr>
        <w:rFonts w:hint="default"/>
      </w:rPr>
    </w:lvl>
    <w:lvl w:ilvl="8">
      <w:start w:val="0"/>
      <w:numFmt w:val="bullet"/>
      <w:lvlText w:val="•"/>
      <w:lvlJc w:val="left"/>
      <w:pPr>
        <w:ind w:left="9073" w:hanging="399"/>
      </w:pPr>
      <w:rPr>
        <w:rFonts w:hint="default"/>
      </w:rPr>
    </w:lvl>
  </w:abstractNum>
  <w:abstractNum w:abstractNumId="18">
    <w:multiLevelType w:val="hybridMultilevel"/>
    <w:lvl w:ilvl="0">
      <w:start w:val="1"/>
      <w:numFmt w:val="lowerLetter"/>
      <w:lvlText w:val="%1)"/>
      <w:lvlJc w:val="left"/>
      <w:pPr>
        <w:ind w:left="877" w:hanging="401"/>
        <w:jc w:val="left"/>
      </w:pPr>
      <w:rPr>
        <w:rFonts w:hint="default" w:ascii="Arial" w:hAnsi="Arial" w:eastAsia="Arial" w:cs="Arial"/>
        <w:spacing w:val="-1"/>
        <w:w w:val="99"/>
        <w:sz w:val="20"/>
        <w:szCs w:val="20"/>
      </w:rPr>
    </w:lvl>
    <w:lvl w:ilvl="1">
      <w:start w:val="1"/>
      <w:numFmt w:val="decimal"/>
      <w:lvlText w:val="%2)"/>
      <w:lvlJc w:val="left"/>
      <w:pPr>
        <w:ind w:left="1276" w:hanging="399"/>
        <w:jc w:val="left"/>
      </w:pPr>
      <w:rPr>
        <w:rFonts w:hint="default" w:ascii="Arial" w:hAnsi="Arial" w:eastAsia="Arial" w:cs="Arial"/>
        <w:spacing w:val="-1"/>
        <w:w w:val="99"/>
        <w:sz w:val="20"/>
        <w:szCs w:val="20"/>
      </w:rPr>
    </w:lvl>
    <w:lvl w:ilvl="2">
      <w:start w:val="0"/>
      <w:numFmt w:val="bullet"/>
      <w:lvlText w:val="•"/>
      <w:lvlJc w:val="left"/>
      <w:pPr>
        <w:ind w:left="2371" w:hanging="399"/>
      </w:pPr>
      <w:rPr>
        <w:rFonts w:hint="default"/>
      </w:rPr>
    </w:lvl>
    <w:lvl w:ilvl="3">
      <w:start w:val="0"/>
      <w:numFmt w:val="bullet"/>
      <w:lvlText w:val="•"/>
      <w:lvlJc w:val="left"/>
      <w:pPr>
        <w:ind w:left="3463" w:hanging="399"/>
      </w:pPr>
      <w:rPr>
        <w:rFonts w:hint="default"/>
      </w:rPr>
    </w:lvl>
    <w:lvl w:ilvl="4">
      <w:start w:val="0"/>
      <w:numFmt w:val="bullet"/>
      <w:lvlText w:val="•"/>
      <w:lvlJc w:val="left"/>
      <w:pPr>
        <w:ind w:left="4555" w:hanging="399"/>
      </w:pPr>
      <w:rPr>
        <w:rFonts w:hint="default"/>
      </w:rPr>
    </w:lvl>
    <w:lvl w:ilvl="5">
      <w:start w:val="0"/>
      <w:numFmt w:val="bullet"/>
      <w:lvlText w:val="•"/>
      <w:lvlJc w:val="left"/>
      <w:pPr>
        <w:ind w:left="5647" w:hanging="399"/>
      </w:pPr>
      <w:rPr>
        <w:rFonts w:hint="default"/>
      </w:rPr>
    </w:lvl>
    <w:lvl w:ilvl="6">
      <w:start w:val="0"/>
      <w:numFmt w:val="bullet"/>
      <w:lvlText w:val="•"/>
      <w:lvlJc w:val="left"/>
      <w:pPr>
        <w:ind w:left="6739" w:hanging="399"/>
      </w:pPr>
      <w:rPr>
        <w:rFonts w:hint="default"/>
      </w:rPr>
    </w:lvl>
    <w:lvl w:ilvl="7">
      <w:start w:val="0"/>
      <w:numFmt w:val="bullet"/>
      <w:lvlText w:val="•"/>
      <w:lvlJc w:val="left"/>
      <w:pPr>
        <w:ind w:left="7830" w:hanging="399"/>
      </w:pPr>
      <w:rPr>
        <w:rFonts w:hint="default"/>
      </w:rPr>
    </w:lvl>
    <w:lvl w:ilvl="8">
      <w:start w:val="0"/>
      <w:numFmt w:val="bullet"/>
      <w:lvlText w:val="•"/>
      <w:lvlJc w:val="left"/>
      <w:pPr>
        <w:ind w:left="8922" w:hanging="399"/>
      </w:pPr>
      <w:rPr>
        <w:rFonts w:hint="default"/>
      </w:rPr>
    </w:lvl>
  </w:abstractNum>
  <w:abstractNum w:abstractNumId="17">
    <w:multiLevelType w:val="hybridMultilevel"/>
    <w:lvl w:ilvl="0">
      <w:start w:val="1"/>
      <w:numFmt w:val="lowerLetter"/>
      <w:lvlText w:val="%1)"/>
      <w:lvlJc w:val="left"/>
      <w:pPr>
        <w:ind w:left="1556" w:hanging="401"/>
        <w:jc w:val="right"/>
      </w:pPr>
      <w:rPr>
        <w:rFonts w:hint="default" w:ascii="Arial" w:hAnsi="Arial" w:eastAsia="Arial" w:cs="Arial"/>
        <w:spacing w:val="-1"/>
        <w:w w:val="99"/>
        <w:sz w:val="20"/>
        <w:szCs w:val="20"/>
      </w:rPr>
    </w:lvl>
    <w:lvl w:ilvl="1">
      <w:start w:val="0"/>
      <w:numFmt w:val="bullet"/>
      <w:lvlText w:val="•"/>
      <w:lvlJc w:val="left"/>
      <w:pPr>
        <w:ind w:left="2514" w:hanging="401"/>
      </w:pPr>
      <w:rPr>
        <w:rFonts w:hint="default"/>
      </w:rPr>
    </w:lvl>
    <w:lvl w:ilvl="2">
      <w:start w:val="0"/>
      <w:numFmt w:val="bullet"/>
      <w:lvlText w:val="•"/>
      <w:lvlJc w:val="left"/>
      <w:pPr>
        <w:ind w:left="3469" w:hanging="401"/>
      </w:pPr>
      <w:rPr>
        <w:rFonts w:hint="default"/>
      </w:rPr>
    </w:lvl>
    <w:lvl w:ilvl="3">
      <w:start w:val="0"/>
      <w:numFmt w:val="bullet"/>
      <w:lvlText w:val="•"/>
      <w:lvlJc w:val="left"/>
      <w:pPr>
        <w:ind w:left="4423" w:hanging="401"/>
      </w:pPr>
      <w:rPr>
        <w:rFonts w:hint="default"/>
      </w:rPr>
    </w:lvl>
    <w:lvl w:ilvl="4">
      <w:start w:val="0"/>
      <w:numFmt w:val="bullet"/>
      <w:lvlText w:val="•"/>
      <w:lvlJc w:val="left"/>
      <w:pPr>
        <w:ind w:left="5378" w:hanging="401"/>
      </w:pPr>
      <w:rPr>
        <w:rFonts w:hint="default"/>
      </w:rPr>
    </w:lvl>
    <w:lvl w:ilvl="5">
      <w:start w:val="0"/>
      <w:numFmt w:val="bullet"/>
      <w:lvlText w:val="•"/>
      <w:lvlJc w:val="left"/>
      <w:pPr>
        <w:ind w:left="6333" w:hanging="401"/>
      </w:pPr>
      <w:rPr>
        <w:rFonts w:hint="default"/>
      </w:rPr>
    </w:lvl>
    <w:lvl w:ilvl="6">
      <w:start w:val="0"/>
      <w:numFmt w:val="bullet"/>
      <w:lvlText w:val="•"/>
      <w:lvlJc w:val="left"/>
      <w:pPr>
        <w:ind w:left="7287" w:hanging="401"/>
      </w:pPr>
      <w:rPr>
        <w:rFonts w:hint="default"/>
      </w:rPr>
    </w:lvl>
    <w:lvl w:ilvl="7">
      <w:start w:val="0"/>
      <w:numFmt w:val="bullet"/>
      <w:lvlText w:val="•"/>
      <w:lvlJc w:val="left"/>
      <w:pPr>
        <w:ind w:left="8242" w:hanging="401"/>
      </w:pPr>
      <w:rPr>
        <w:rFonts w:hint="default"/>
      </w:rPr>
    </w:lvl>
    <w:lvl w:ilvl="8">
      <w:start w:val="0"/>
      <w:numFmt w:val="bullet"/>
      <w:lvlText w:val="•"/>
      <w:lvlJc w:val="left"/>
      <w:pPr>
        <w:ind w:left="9197" w:hanging="401"/>
      </w:pPr>
      <w:rPr>
        <w:rFonts w:hint="default"/>
      </w:rPr>
    </w:lvl>
  </w:abstractNum>
  <w:abstractNum w:abstractNumId="16">
    <w:multiLevelType w:val="hybridMultilevel"/>
    <w:lvl w:ilvl="0">
      <w:start w:val="1"/>
      <w:numFmt w:val="lowerLetter"/>
      <w:lvlText w:val="%1)"/>
      <w:lvlJc w:val="left"/>
      <w:pPr>
        <w:ind w:left="877" w:hanging="401"/>
        <w:jc w:val="right"/>
      </w:pPr>
      <w:rPr>
        <w:rFonts w:hint="default" w:ascii="Arial" w:hAnsi="Arial" w:eastAsia="Arial" w:cs="Arial"/>
        <w:spacing w:val="-1"/>
        <w:w w:val="99"/>
        <w:sz w:val="20"/>
        <w:szCs w:val="20"/>
      </w:rPr>
    </w:lvl>
    <w:lvl w:ilvl="1">
      <w:start w:val="0"/>
      <w:numFmt w:val="bullet"/>
      <w:lvlText w:val="•"/>
      <w:lvlJc w:val="left"/>
      <w:pPr>
        <w:ind w:left="1902" w:hanging="401"/>
      </w:pPr>
      <w:rPr>
        <w:rFonts w:hint="default"/>
      </w:rPr>
    </w:lvl>
    <w:lvl w:ilvl="2">
      <w:start w:val="0"/>
      <w:numFmt w:val="bullet"/>
      <w:lvlText w:val="•"/>
      <w:lvlJc w:val="left"/>
      <w:pPr>
        <w:ind w:left="2925" w:hanging="401"/>
      </w:pPr>
      <w:rPr>
        <w:rFonts w:hint="default"/>
      </w:rPr>
    </w:lvl>
    <w:lvl w:ilvl="3">
      <w:start w:val="0"/>
      <w:numFmt w:val="bullet"/>
      <w:lvlText w:val="•"/>
      <w:lvlJc w:val="left"/>
      <w:pPr>
        <w:ind w:left="3947" w:hanging="401"/>
      </w:pPr>
      <w:rPr>
        <w:rFonts w:hint="default"/>
      </w:rPr>
    </w:lvl>
    <w:lvl w:ilvl="4">
      <w:start w:val="0"/>
      <w:numFmt w:val="bullet"/>
      <w:lvlText w:val="•"/>
      <w:lvlJc w:val="left"/>
      <w:pPr>
        <w:ind w:left="4970" w:hanging="401"/>
      </w:pPr>
      <w:rPr>
        <w:rFonts w:hint="default"/>
      </w:rPr>
    </w:lvl>
    <w:lvl w:ilvl="5">
      <w:start w:val="0"/>
      <w:numFmt w:val="bullet"/>
      <w:lvlText w:val="•"/>
      <w:lvlJc w:val="left"/>
      <w:pPr>
        <w:ind w:left="5993" w:hanging="401"/>
      </w:pPr>
      <w:rPr>
        <w:rFonts w:hint="default"/>
      </w:rPr>
    </w:lvl>
    <w:lvl w:ilvl="6">
      <w:start w:val="0"/>
      <w:numFmt w:val="bullet"/>
      <w:lvlText w:val="•"/>
      <w:lvlJc w:val="left"/>
      <w:pPr>
        <w:ind w:left="7015" w:hanging="401"/>
      </w:pPr>
      <w:rPr>
        <w:rFonts w:hint="default"/>
      </w:rPr>
    </w:lvl>
    <w:lvl w:ilvl="7">
      <w:start w:val="0"/>
      <w:numFmt w:val="bullet"/>
      <w:lvlText w:val="•"/>
      <w:lvlJc w:val="left"/>
      <w:pPr>
        <w:ind w:left="8038" w:hanging="401"/>
      </w:pPr>
      <w:rPr>
        <w:rFonts w:hint="default"/>
      </w:rPr>
    </w:lvl>
    <w:lvl w:ilvl="8">
      <w:start w:val="0"/>
      <w:numFmt w:val="bullet"/>
      <w:lvlText w:val="•"/>
      <w:lvlJc w:val="left"/>
      <w:pPr>
        <w:ind w:left="9061" w:hanging="401"/>
      </w:pPr>
      <w:rPr>
        <w:rFonts w:hint="default"/>
      </w:rPr>
    </w:lvl>
  </w:abstractNum>
  <w:abstractNum w:abstractNumId="15">
    <w:multiLevelType w:val="hybridMultilevel"/>
    <w:lvl w:ilvl="0">
      <w:start w:val="1"/>
      <w:numFmt w:val="lowerLetter"/>
      <w:lvlText w:val="%1)"/>
      <w:lvlJc w:val="left"/>
      <w:pPr>
        <w:ind w:left="836" w:hanging="361"/>
        <w:jc w:val="left"/>
      </w:pPr>
      <w:rPr>
        <w:rFonts w:hint="default" w:ascii="Arial" w:hAnsi="Arial" w:eastAsia="Arial" w:cs="Arial"/>
        <w:spacing w:val="-1"/>
        <w:w w:val="99"/>
        <w:sz w:val="20"/>
        <w:szCs w:val="20"/>
      </w:rPr>
    </w:lvl>
    <w:lvl w:ilvl="1">
      <w:start w:val="0"/>
      <w:numFmt w:val="bullet"/>
      <w:lvlText w:val="•"/>
      <w:lvlJc w:val="left"/>
      <w:pPr>
        <w:ind w:left="1866" w:hanging="361"/>
      </w:pPr>
      <w:rPr>
        <w:rFonts w:hint="default"/>
      </w:rPr>
    </w:lvl>
    <w:lvl w:ilvl="2">
      <w:start w:val="0"/>
      <w:numFmt w:val="bullet"/>
      <w:lvlText w:val="•"/>
      <w:lvlJc w:val="left"/>
      <w:pPr>
        <w:ind w:left="2893" w:hanging="361"/>
      </w:pPr>
      <w:rPr>
        <w:rFonts w:hint="default"/>
      </w:rPr>
    </w:lvl>
    <w:lvl w:ilvl="3">
      <w:start w:val="0"/>
      <w:numFmt w:val="bullet"/>
      <w:lvlText w:val="•"/>
      <w:lvlJc w:val="left"/>
      <w:pPr>
        <w:ind w:left="3919" w:hanging="361"/>
      </w:pPr>
      <w:rPr>
        <w:rFonts w:hint="default"/>
      </w:rPr>
    </w:lvl>
    <w:lvl w:ilvl="4">
      <w:start w:val="0"/>
      <w:numFmt w:val="bullet"/>
      <w:lvlText w:val="•"/>
      <w:lvlJc w:val="left"/>
      <w:pPr>
        <w:ind w:left="4946" w:hanging="361"/>
      </w:pPr>
      <w:rPr>
        <w:rFonts w:hint="default"/>
      </w:rPr>
    </w:lvl>
    <w:lvl w:ilvl="5">
      <w:start w:val="0"/>
      <w:numFmt w:val="bullet"/>
      <w:lvlText w:val="•"/>
      <w:lvlJc w:val="left"/>
      <w:pPr>
        <w:ind w:left="5973" w:hanging="361"/>
      </w:pPr>
      <w:rPr>
        <w:rFonts w:hint="default"/>
      </w:rPr>
    </w:lvl>
    <w:lvl w:ilvl="6">
      <w:start w:val="0"/>
      <w:numFmt w:val="bullet"/>
      <w:lvlText w:val="•"/>
      <w:lvlJc w:val="left"/>
      <w:pPr>
        <w:ind w:left="6999" w:hanging="361"/>
      </w:pPr>
      <w:rPr>
        <w:rFonts w:hint="default"/>
      </w:rPr>
    </w:lvl>
    <w:lvl w:ilvl="7">
      <w:start w:val="0"/>
      <w:numFmt w:val="bullet"/>
      <w:lvlText w:val="•"/>
      <w:lvlJc w:val="left"/>
      <w:pPr>
        <w:ind w:left="8026" w:hanging="361"/>
      </w:pPr>
      <w:rPr>
        <w:rFonts w:hint="default"/>
      </w:rPr>
    </w:lvl>
    <w:lvl w:ilvl="8">
      <w:start w:val="0"/>
      <w:numFmt w:val="bullet"/>
      <w:lvlText w:val="•"/>
      <w:lvlJc w:val="left"/>
      <w:pPr>
        <w:ind w:left="9053" w:hanging="361"/>
      </w:pPr>
      <w:rPr>
        <w:rFonts w:hint="default"/>
      </w:rPr>
    </w:lvl>
  </w:abstractNum>
  <w:abstractNum w:abstractNumId="14">
    <w:multiLevelType w:val="hybridMultilevel"/>
    <w:lvl w:ilvl="0">
      <w:start w:val="1"/>
      <w:numFmt w:val="lowerLetter"/>
      <w:lvlText w:val="%1)"/>
      <w:lvlJc w:val="left"/>
      <w:pPr>
        <w:ind w:left="877" w:hanging="401"/>
        <w:jc w:val="left"/>
      </w:pPr>
      <w:rPr>
        <w:rFonts w:hint="default" w:ascii="Arial" w:hAnsi="Arial" w:eastAsia="Arial" w:cs="Arial"/>
        <w:spacing w:val="-1"/>
        <w:w w:val="99"/>
        <w:sz w:val="20"/>
        <w:szCs w:val="20"/>
      </w:rPr>
    </w:lvl>
    <w:lvl w:ilvl="1">
      <w:start w:val="1"/>
      <w:numFmt w:val="decimal"/>
      <w:lvlText w:val="%2)"/>
      <w:lvlJc w:val="left"/>
      <w:pPr>
        <w:ind w:left="1276" w:hanging="399"/>
        <w:jc w:val="left"/>
      </w:pPr>
      <w:rPr>
        <w:rFonts w:hint="default" w:ascii="Arial" w:hAnsi="Arial" w:eastAsia="Arial" w:cs="Arial"/>
        <w:spacing w:val="-1"/>
        <w:w w:val="99"/>
        <w:sz w:val="20"/>
        <w:szCs w:val="20"/>
      </w:rPr>
    </w:lvl>
    <w:lvl w:ilvl="2">
      <w:start w:val="0"/>
      <w:numFmt w:val="bullet"/>
      <w:lvlText w:val="•"/>
      <w:lvlJc w:val="left"/>
      <w:pPr>
        <w:ind w:left="2371" w:hanging="399"/>
      </w:pPr>
      <w:rPr>
        <w:rFonts w:hint="default"/>
      </w:rPr>
    </w:lvl>
    <w:lvl w:ilvl="3">
      <w:start w:val="0"/>
      <w:numFmt w:val="bullet"/>
      <w:lvlText w:val="•"/>
      <w:lvlJc w:val="left"/>
      <w:pPr>
        <w:ind w:left="3463" w:hanging="399"/>
      </w:pPr>
      <w:rPr>
        <w:rFonts w:hint="default"/>
      </w:rPr>
    </w:lvl>
    <w:lvl w:ilvl="4">
      <w:start w:val="0"/>
      <w:numFmt w:val="bullet"/>
      <w:lvlText w:val="•"/>
      <w:lvlJc w:val="left"/>
      <w:pPr>
        <w:ind w:left="4555" w:hanging="399"/>
      </w:pPr>
      <w:rPr>
        <w:rFonts w:hint="default"/>
      </w:rPr>
    </w:lvl>
    <w:lvl w:ilvl="5">
      <w:start w:val="0"/>
      <w:numFmt w:val="bullet"/>
      <w:lvlText w:val="•"/>
      <w:lvlJc w:val="left"/>
      <w:pPr>
        <w:ind w:left="5647" w:hanging="399"/>
      </w:pPr>
      <w:rPr>
        <w:rFonts w:hint="default"/>
      </w:rPr>
    </w:lvl>
    <w:lvl w:ilvl="6">
      <w:start w:val="0"/>
      <w:numFmt w:val="bullet"/>
      <w:lvlText w:val="•"/>
      <w:lvlJc w:val="left"/>
      <w:pPr>
        <w:ind w:left="6739" w:hanging="399"/>
      </w:pPr>
      <w:rPr>
        <w:rFonts w:hint="default"/>
      </w:rPr>
    </w:lvl>
    <w:lvl w:ilvl="7">
      <w:start w:val="0"/>
      <w:numFmt w:val="bullet"/>
      <w:lvlText w:val="•"/>
      <w:lvlJc w:val="left"/>
      <w:pPr>
        <w:ind w:left="7830" w:hanging="399"/>
      </w:pPr>
      <w:rPr>
        <w:rFonts w:hint="default"/>
      </w:rPr>
    </w:lvl>
    <w:lvl w:ilvl="8">
      <w:start w:val="0"/>
      <w:numFmt w:val="bullet"/>
      <w:lvlText w:val="•"/>
      <w:lvlJc w:val="left"/>
      <w:pPr>
        <w:ind w:left="8922" w:hanging="399"/>
      </w:pPr>
      <w:rPr>
        <w:rFonts w:hint="default"/>
      </w:rPr>
    </w:lvl>
  </w:abstractNum>
  <w:abstractNum w:abstractNumId="13">
    <w:multiLevelType w:val="hybridMultilevel"/>
    <w:lvl w:ilvl="0">
      <w:start w:val="1"/>
      <w:numFmt w:val="lowerLetter"/>
      <w:lvlText w:val="%1)"/>
      <w:lvlJc w:val="left"/>
      <w:pPr>
        <w:ind w:left="1556" w:hanging="401"/>
        <w:jc w:val="right"/>
      </w:pPr>
      <w:rPr>
        <w:rFonts w:hint="default" w:ascii="Arial" w:hAnsi="Arial" w:eastAsia="Arial" w:cs="Arial"/>
        <w:spacing w:val="-1"/>
        <w:w w:val="99"/>
        <w:sz w:val="20"/>
        <w:szCs w:val="20"/>
      </w:rPr>
    </w:lvl>
    <w:lvl w:ilvl="1">
      <w:start w:val="0"/>
      <w:numFmt w:val="bullet"/>
      <w:lvlText w:val="•"/>
      <w:lvlJc w:val="left"/>
      <w:pPr>
        <w:ind w:left="2514" w:hanging="401"/>
      </w:pPr>
      <w:rPr>
        <w:rFonts w:hint="default"/>
      </w:rPr>
    </w:lvl>
    <w:lvl w:ilvl="2">
      <w:start w:val="0"/>
      <w:numFmt w:val="bullet"/>
      <w:lvlText w:val="•"/>
      <w:lvlJc w:val="left"/>
      <w:pPr>
        <w:ind w:left="3469" w:hanging="401"/>
      </w:pPr>
      <w:rPr>
        <w:rFonts w:hint="default"/>
      </w:rPr>
    </w:lvl>
    <w:lvl w:ilvl="3">
      <w:start w:val="0"/>
      <w:numFmt w:val="bullet"/>
      <w:lvlText w:val="•"/>
      <w:lvlJc w:val="left"/>
      <w:pPr>
        <w:ind w:left="4423" w:hanging="401"/>
      </w:pPr>
      <w:rPr>
        <w:rFonts w:hint="default"/>
      </w:rPr>
    </w:lvl>
    <w:lvl w:ilvl="4">
      <w:start w:val="0"/>
      <w:numFmt w:val="bullet"/>
      <w:lvlText w:val="•"/>
      <w:lvlJc w:val="left"/>
      <w:pPr>
        <w:ind w:left="5378" w:hanging="401"/>
      </w:pPr>
      <w:rPr>
        <w:rFonts w:hint="default"/>
      </w:rPr>
    </w:lvl>
    <w:lvl w:ilvl="5">
      <w:start w:val="0"/>
      <w:numFmt w:val="bullet"/>
      <w:lvlText w:val="•"/>
      <w:lvlJc w:val="left"/>
      <w:pPr>
        <w:ind w:left="6333" w:hanging="401"/>
      </w:pPr>
      <w:rPr>
        <w:rFonts w:hint="default"/>
      </w:rPr>
    </w:lvl>
    <w:lvl w:ilvl="6">
      <w:start w:val="0"/>
      <w:numFmt w:val="bullet"/>
      <w:lvlText w:val="•"/>
      <w:lvlJc w:val="left"/>
      <w:pPr>
        <w:ind w:left="7287" w:hanging="401"/>
      </w:pPr>
      <w:rPr>
        <w:rFonts w:hint="default"/>
      </w:rPr>
    </w:lvl>
    <w:lvl w:ilvl="7">
      <w:start w:val="0"/>
      <w:numFmt w:val="bullet"/>
      <w:lvlText w:val="•"/>
      <w:lvlJc w:val="left"/>
      <w:pPr>
        <w:ind w:left="8242" w:hanging="401"/>
      </w:pPr>
      <w:rPr>
        <w:rFonts w:hint="default"/>
      </w:rPr>
    </w:lvl>
    <w:lvl w:ilvl="8">
      <w:start w:val="0"/>
      <w:numFmt w:val="bullet"/>
      <w:lvlText w:val="•"/>
      <w:lvlJc w:val="left"/>
      <w:pPr>
        <w:ind w:left="9197" w:hanging="401"/>
      </w:pPr>
      <w:rPr>
        <w:rFonts w:hint="default"/>
      </w:rPr>
    </w:lvl>
  </w:abstractNum>
  <w:abstractNum w:abstractNumId="12">
    <w:multiLevelType w:val="hybridMultilevel"/>
    <w:lvl w:ilvl="0">
      <w:start w:val="1"/>
      <w:numFmt w:val="lowerLetter"/>
      <w:lvlText w:val="%1)"/>
      <w:lvlJc w:val="left"/>
      <w:pPr>
        <w:ind w:left="1556" w:hanging="401"/>
        <w:jc w:val="left"/>
      </w:pPr>
      <w:rPr>
        <w:rFonts w:hint="default" w:ascii="Arial" w:hAnsi="Arial" w:eastAsia="Arial" w:cs="Arial"/>
        <w:spacing w:val="-1"/>
        <w:w w:val="99"/>
        <w:sz w:val="20"/>
        <w:szCs w:val="20"/>
      </w:rPr>
    </w:lvl>
    <w:lvl w:ilvl="1">
      <w:start w:val="0"/>
      <w:numFmt w:val="bullet"/>
      <w:lvlText w:val="•"/>
      <w:lvlJc w:val="left"/>
      <w:pPr>
        <w:ind w:left="2514" w:hanging="401"/>
      </w:pPr>
      <w:rPr>
        <w:rFonts w:hint="default"/>
      </w:rPr>
    </w:lvl>
    <w:lvl w:ilvl="2">
      <w:start w:val="0"/>
      <w:numFmt w:val="bullet"/>
      <w:lvlText w:val="•"/>
      <w:lvlJc w:val="left"/>
      <w:pPr>
        <w:ind w:left="3469" w:hanging="401"/>
      </w:pPr>
      <w:rPr>
        <w:rFonts w:hint="default"/>
      </w:rPr>
    </w:lvl>
    <w:lvl w:ilvl="3">
      <w:start w:val="0"/>
      <w:numFmt w:val="bullet"/>
      <w:lvlText w:val="•"/>
      <w:lvlJc w:val="left"/>
      <w:pPr>
        <w:ind w:left="4423" w:hanging="401"/>
      </w:pPr>
      <w:rPr>
        <w:rFonts w:hint="default"/>
      </w:rPr>
    </w:lvl>
    <w:lvl w:ilvl="4">
      <w:start w:val="0"/>
      <w:numFmt w:val="bullet"/>
      <w:lvlText w:val="•"/>
      <w:lvlJc w:val="left"/>
      <w:pPr>
        <w:ind w:left="5378" w:hanging="401"/>
      </w:pPr>
      <w:rPr>
        <w:rFonts w:hint="default"/>
      </w:rPr>
    </w:lvl>
    <w:lvl w:ilvl="5">
      <w:start w:val="0"/>
      <w:numFmt w:val="bullet"/>
      <w:lvlText w:val="•"/>
      <w:lvlJc w:val="left"/>
      <w:pPr>
        <w:ind w:left="6333" w:hanging="401"/>
      </w:pPr>
      <w:rPr>
        <w:rFonts w:hint="default"/>
      </w:rPr>
    </w:lvl>
    <w:lvl w:ilvl="6">
      <w:start w:val="0"/>
      <w:numFmt w:val="bullet"/>
      <w:lvlText w:val="•"/>
      <w:lvlJc w:val="left"/>
      <w:pPr>
        <w:ind w:left="7287" w:hanging="401"/>
      </w:pPr>
      <w:rPr>
        <w:rFonts w:hint="default"/>
      </w:rPr>
    </w:lvl>
    <w:lvl w:ilvl="7">
      <w:start w:val="0"/>
      <w:numFmt w:val="bullet"/>
      <w:lvlText w:val="•"/>
      <w:lvlJc w:val="left"/>
      <w:pPr>
        <w:ind w:left="8242" w:hanging="401"/>
      </w:pPr>
      <w:rPr>
        <w:rFonts w:hint="default"/>
      </w:rPr>
    </w:lvl>
    <w:lvl w:ilvl="8">
      <w:start w:val="0"/>
      <w:numFmt w:val="bullet"/>
      <w:lvlText w:val="•"/>
      <w:lvlJc w:val="left"/>
      <w:pPr>
        <w:ind w:left="9197" w:hanging="401"/>
      </w:pPr>
      <w:rPr>
        <w:rFonts w:hint="default"/>
      </w:rPr>
    </w:lvl>
  </w:abstractNum>
  <w:abstractNum w:abstractNumId="11">
    <w:multiLevelType w:val="hybridMultilevel"/>
    <w:lvl w:ilvl="0">
      <w:start w:val="1"/>
      <w:numFmt w:val="lowerLetter"/>
      <w:lvlText w:val="%1)"/>
      <w:lvlJc w:val="left"/>
      <w:pPr>
        <w:ind w:left="1556" w:hanging="401"/>
        <w:jc w:val="left"/>
      </w:pPr>
      <w:rPr>
        <w:rFonts w:hint="default" w:ascii="Arial" w:hAnsi="Arial" w:eastAsia="Arial" w:cs="Arial"/>
        <w:spacing w:val="-1"/>
        <w:w w:val="99"/>
        <w:sz w:val="20"/>
        <w:szCs w:val="20"/>
      </w:rPr>
    </w:lvl>
    <w:lvl w:ilvl="1">
      <w:start w:val="0"/>
      <w:numFmt w:val="bullet"/>
      <w:lvlText w:val="•"/>
      <w:lvlJc w:val="left"/>
      <w:pPr>
        <w:ind w:left="2514" w:hanging="401"/>
      </w:pPr>
      <w:rPr>
        <w:rFonts w:hint="default"/>
      </w:rPr>
    </w:lvl>
    <w:lvl w:ilvl="2">
      <w:start w:val="0"/>
      <w:numFmt w:val="bullet"/>
      <w:lvlText w:val="•"/>
      <w:lvlJc w:val="left"/>
      <w:pPr>
        <w:ind w:left="3469" w:hanging="401"/>
      </w:pPr>
      <w:rPr>
        <w:rFonts w:hint="default"/>
      </w:rPr>
    </w:lvl>
    <w:lvl w:ilvl="3">
      <w:start w:val="0"/>
      <w:numFmt w:val="bullet"/>
      <w:lvlText w:val="•"/>
      <w:lvlJc w:val="left"/>
      <w:pPr>
        <w:ind w:left="4423" w:hanging="401"/>
      </w:pPr>
      <w:rPr>
        <w:rFonts w:hint="default"/>
      </w:rPr>
    </w:lvl>
    <w:lvl w:ilvl="4">
      <w:start w:val="0"/>
      <w:numFmt w:val="bullet"/>
      <w:lvlText w:val="•"/>
      <w:lvlJc w:val="left"/>
      <w:pPr>
        <w:ind w:left="5378" w:hanging="401"/>
      </w:pPr>
      <w:rPr>
        <w:rFonts w:hint="default"/>
      </w:rPr>
    </w:lvl>
    <w:lvl w:ilvl="5">
      <w:start w:val="0"/>
      <w:numFmt w:val="bullet"/>
      <w:lvlText w:val="•"/>
      <w:lvlJc w:val="left"/>
      <w:pPr>
        <w:ind w:left="6333" w:hanging="401"/>
      </w:pPr>
      <w:rPr>
        <w:rFonts w:hint="default"/>
      </w:rPr>
    </w:lvl>
    <w:lvl w:ilvl="6">
      <w:start w:val="0"/>
      <w:numFmt w:val="bullet"/>
      <w:lvlText w:val="•"/>
      <w:lvlJc w:val="left"/>
      <w:pPr>
        <w:ind w:left="7287" w:hanging="401"/>
      </w:pPr>
      <w:rPr>
        <w:rFonts w:hint="default"/>
      </w:rPr>
    </w:lvl>
    <w:lvl w:ilvl="7">
      <w:start w:val="0"/>
      <w:numFmt w:val="bullet"/>
      <w:lvlText w:val="•"/>
      <w:lvlJc w:val="left"/>
      <w:pPr>
        <w:ind w:left="8242" w:hanging="401"/>
      </w:pPr>
      <w:rPr>
        <w:rFonts w:hint="default"/>
      </w:rPr>
    </w:lvl>
    <w:lvl w:ilvl="8">
      <w:start w:val="0"/>
      <w:numFmt w:val="bullet"/>
      <w:lvlText w:val="•"/>
      <w:lvlJc w:val="left"/>
      <w:pPr>
        <w:ind w:left="9197" w:hanging="401"/>
      </w:pPr>
      <w:rPr>
        <w:rFonts w:hint="default"/>
      </w:rPr>
    </w:lvl>
  </w:abstractNum>
  <w:abstractNum w:abstractNumId="10">
    <w:multiLevelType w:val="hybridMultilevel"/>
    <w:lvl w:ilvl="0">
      <w:start w:val="1"/>
      <w:numFmt w:val="lowerLetter"/>
      <w:lvlText w:val="%1)"/>
      <w:lvlJc w:val="left"/>
      <w:pPr>
        <w:ind w:left="877" w:hanging="401"/>
        <w:jc w:val="right"/>
      </w:pPr>
      <w:rPr>
        <w:rFonts w:hint="default" w:ascii="Arial" w:hAnsi="Arial" w:eastAsia="Arial" w:cs="Arial"/>
        <w:spacing w:val="-1"/>
        <w:w w:val="99"/>
        <w:sz w:val="20"/>
        <w:szCs w:val="20"/>
      </w:rPr>
    </w:lvl>
    <w:lvl w:ilvl="1">
      <w:start w:val="0"/>
      <w:numFmt w:val="bullet"/>
      <w:lvlText w:val="•"/>
      <w:lvlJc w:val="left"/>
      <w:pPr>
        <w:ind w:left="1902" w:hanging="401"/>
      </w:pPr>
      <w:rPr>
        <w:rFonts w:hint="default"/>
      </w:rPr>
    </w:lvl>
    <w:lvl w:ilvl="2">
      <w:start w:val="0"/>
      <w:numFmt w:val="bullet"/>
      <w:lvlText w:val="•"/>
      <w:lvlJc w:val="left"/>
      <w:pPr>
        <w:ind w:left="2925" w:hanging="401"/>
      </w:pPr>
      <w:rPr>
        <w:rFonts w:hint="default"/>
      </w:rPr>
    </w:lvl>
    <w:lvl w:ilvl="3">
      <w:start w:val="0"/>
      <w:numFmt w:val="bullet"/>
      <w:lvlText w:val="•"/>
      <w:lvlJc w:val="left"/>
      <w:pPr>
        <w:ind w:left="3947" w:hanging="401"/>
      </w:pPr>
      <w:rPr>
        <w:rFonts w:hint="default"/>
      </w:rPr>
    </w:lvl>
    <w:lvl w:ilvl="4">
      <w:start w:val="0"/>
      <w:numFmt w:val="bullet"/>
      <w:lvlText w:val="•"/>
      <w:lvlJc w:val="left"/>
      <w:pPr>
        <w:ind w:left="4970" w:hanging="401"/>
      </w:pPr>
      <w:rPr>
        <w:rFonts w:hint="default"/>
      </w:rPr>
    </w:lvl>
    <w:lvl w:ilvl="5">
      <w:start w:val="0"/>
      <w:numFmt w:val="bullet"/>
      <w:lvlText w:val="•"/>
      <w:lvlJc w:val="left"/>
      <w:pPr>
        <w:ind w:left="5993" w:hanging="401"/>
      </w:pPr>
      <w:rPr>
        <w:rFonts w:hint="default"/>
      </w:rPr>
    </w:lvl>
    <w:lvl w:ilvl="6">
      <w:start w:val="0"/>
      <w:numFmt w:val="bullet"/>
      <w:lvlText w:val="•"/>
      <w:lvlJc w:val="left"/>
      <w:pPr>
        <w:ind w:left="7015" w:hanging="401"/>
      </w:pPr>
      <w:rPr>
        <w:rFonts w:hint="default"/>
      </w:rPr>
    </w:lvl>
    <w:lvl w:ilvl="7">
      <w:start w:val="0"/>
      <w:numFmt w:val="bullet"/>
      <w:lvlText w:val="•"/>
      <w:lvlJc w:val="left"/>
      <w:pPr>
        <w:ind w:left="8038" w:hanging="401"/>
      </w:pPr>
      <w:rPr>
        <w:rFonts w:hint="default"/>
      </w:rPr>
    </w:lvl>
    <w:lvl w:ilvl="8">
      <w:start w:val="0"/>
      <w:numFmt w:val="bullet"/>
      <w:lvlText w:val="•"/>
      <w:lvlJc w:val="left"/>
      <w:pPr>
        <w:ind w:left="9061" w:hanging="401"/>
      </w:pPr>
      <w:rPr>
        <w:rFonts w:hint="default"/>
      </w:rPr>
    </w:lvl>
  </w:abstractNum>
  <w:abstractNum w:abstractNumId="9">
    <w:multiLevelType w:val="hybridMultilevel"/>
    <w:lvl w:ilvl="0">
      <w:start w:val="1"/>
      <w:numFmt w:val="lowerLetter"/>
      <w:lvlText w:val="%1)"/>
      <w:lvlJc w:val="left"/>
      <w:pPr>
        <w:ind w:left="877" w:hanging="401"/>
        <w:jc w:val="left"/>
      </w:pPr>
      <w:rPr>
        <w:rFonts w:hint="default" w:ascii="Arial" w:hAnsi="Arial" w:eastAsia="Arial" w:cs="Arial"/>
        <w:spacing w:val="-1"/>
        <w:w w:val="99"/>
        <w:sz w:val="20"/>
        <w:szCs w:val="20"/>
      </w:rPr>
    </w:lvl>
    <w:lvl w:ilvl="1">
      <w:start w:val="0"/>
      <w:numFmt w:val="bullet"/>
      <w:lvlText w:val="•"/>
      <w:lvlJc w:val="left"/>
      <w:pPr>
        <w:ind w:left="1902" w:hanging="401"/>
      </w:pPr>
      <w:rPr>
        <w:rFonts w:hint="default"/>
      </w:rPr>
    </w:lvl>
    <w:lvl w:ilvl="2">
      <w:start w:val="0"/>
      <w:numFmt w:val="bullet"/>
      <w:lvlText w:val="•"/>
      <w:lvlJc w:val="left"/>
      <w:pPr>
        <w:ind w:left="2925" w:hanging="401"/>
      </w:pPr>
      <w:rPr>
        <w:rFonts w:hint="default"/>
      </w:rPr>
    </w:lvl>
    <w:lvl w:ilvl="3">
      <w:start w:val="0"/>
      <w:numFmt w:val="bullet"/>
      <w:lvlText w:val="•"/>
      <w:lvlJc w:val="left"/>
      <w:pPr>
        <w:ind w:left="3947" w:hanging="401"/>
      </w:pPr>
      <w:rPr>
        <w:rFonts w:hint="default"/>
      </w:rPr>
    </w:lvl>
    <w:lvl w:ilvl="4">
      <w:start w:val="0"/>
      <w:numFmt w:val="bullet"/>
      <w:lvlText w:val="•"/>
      <w:lvlJc w:val="left"/>
      <w:pPr>
        <w:ind w:left="4970" w:hanging="401"/>
      </w:pPr>
      <w:rPr>
        <w:rFonts w:hint="default"/>
      </w:rPr>
    </w:lvl>
    <w:lvl w:ilvl="5">
      <w:start w:val="0"/>
      <w:numFmt w:val="bullet"/>
      <w:lvlText w:val="•"/>
      <w:lvlJc w:val="left"/>
      <w:pPr>
        <w:ind w:left="5993" w:hanging="401"/>
      </w:pPr>
      <w:rPr>
        <w:rFonts w:hint="default"/>
      </w:rPr>
    </w:lvl>
    <w:lvl w:ilvl="6">
      <w:start w:val="0"/>
      <w:numFmt w:val="bullet"/>
      <w:lvlText w:val="•"/>
      <w:lvlJc w:val="left"/>
      <w:pPr>
        <w:ind w:left="7015" w:hanging="401"/>
      </w:pPr>
      <w:rPr>
        <w:rFonts w:hint="default"/>
      </w:rPr>
    </w:lvl>
    <w:lvl w:ilvl="7">
      <w:start w:val="0"/>
      <w:numFmt w:val="bullet"/>
      <w:lvlText w:val="•"/>
      <w:lvlJc w:val="left"/>
      <w:pPr>
        <w:ind w:left="8038" w:hanging="401"/>
      </w:pPr>
      <w:rPr>
        <w:rFonts w:hint="default"/>
      </w:rPr>
    </w:lvl>
    <w:lvl w:ilvl="8">
      <w:start w:val="0"/>
      <w:numFmt w:val="bullet"/>
      <w:lvlText w:val="•"/>
      <w:lvlJc w:val="left"/>
      <w:pPr>
        <w:ind w:left="9061" w:hanging="401"/>
      </w:pPr>
      <w:rPr>
        <w:rFonts w:hint="default"/>
      </w:rPr>
    </w:lvl>
  </w:abstractNum>
  <w:abstractNum w:abstractNumId="8">
    <w:multiLevelType w:val="hybridMultilevel"/>
    <w:lvl w:ilvl="0">
      <w:start w:val="1"/>
      <w:numFmt w:val="lowerLetter"/>
      <w:lvlText w:val="%1)"/>
      <w:lvlJc w:val="left"/>
      <w:pPr>
        <w:ind w:left="1556" w:hanging="401"/>
        <w:jc w:val="left"/>
      </w:pPr>
      <w:rPr>
        <w:rFonts w:hint="default" w:ascii="Arial" w:hAnsi="Arial" w:eastAsia="Arial" w:cs="Arial"/>
        <w:spacing w:val="-1"/>
        <w:w w:val="99"/>
        <w:sz w:val="20"/>
        <w:szCs w:val="20"/>
      </w:rPr>
    </w:lvl>
    <w:lvl w:ilvl="1">
      <w:start w:val="1"/>
      <w:numFmt w:val="decimal"/>
      <w:lvlText w:val="%2)"/>
      <w:lvlJc w:val="left"/>
      <w:pPr>
        <w:ind w:left="1789" w:hanging="233"/>
        <w:jc w:val="left"/>
      </w:pPr>
      <w:rPr>
        <w:rFonts w:hint="default" w:ascii="Arial" w:hAnsi="Arial" w:eastAsia="Arial" w:cs="Arial"/>
        <w:spacing w:val="-1"/>
        <w:w w:val="99"/>
        <w:sz w:val="20"/>
        <w:szCs w:val="20"/>
      </w:rPr>
    </w:lvl>
    <w:lvl w:ilvl="2">
      <w:start w:val="0"/>
      <w:numFmt w:val="bullet"/>
      <w:lvlText w:val="•"/>
      <w:lvlJc w:val="left"/>
      <w:pPr>
        <w:ind w:left="1960" w:hanging="233"/>
      </w:pPr>
      <w:rPr>
        <w:rFonts w:hint="default"/>
      </w:rPr>
    </w:lvl>
    <w:lvl w:ilvl="3">
      <w:start w:val="0"/>
      <w:numFmt w:val="bullet"/>
      <w:lvlText w:val="•"/>
      <w:lvlJc w:val="left"/>
      <w:pPr>
        <w:ind w:left="3103" w:hanging="233"/>
      </w:pPr>
      <w:rPr>
        <w:rFonts w:hint="default"/>
      </w:rPr>
    </w:lvl>
    <w:lvl w:ilvl="4">
      <w:start w:val="0"/>
      <w:numFmt w:val="bullet"/>
      <w:lvlText w:val="•"/>
      <w:lvlJc w:val="left"/>
      <w:pPr>
        <w:ind w:left="4246" w:hanging="233"/>
      </w:pPr>
      <w:rPr>
        <w:rFonts w:hint="default"/>
      </w:rPr>
    </w:lvl>
    <w:lvl w:ilvl="5">
      <w:start w:val="0"/>
      <w:numFmt w:val="bullet"/>
      <w:lvlText w:val="•"/>
      <w:lvlJc w:val="left"/>
      <w:pPr>
        <w:ind w:left="5389" w:hanging="233"/>
      </w:pPr>
      <w:rPr>
        <w:rFonts w:hint="default"/>
      </w:rPr>
    </w:lvl>
    <w:lvl w:ilvl="6">
      <w:start w:val="0"/>
      <w:numFmt w:val="bullet"/>
      <w:lvlText w:val="•"/>
      <w:lvlJc w:val="left"/>
      <w:pPr>
        <w:ind w:left="6533" w:hanging="233"/>
      </w:pPr>
      <w:rPr>
        <w:rFonts w:hint="default"/>
      </w:rPr>
    </w:lvl>
    <w:lvl w:ilvl="7">
      <w:start w:val="0"/>
      <w:numFmt w:val="bullet"/>
      <w:lvlText w:val="•"/>
      <w:lvlJc w:val="left"/>
      <w:pPr>
        <w:ind w:left="7676" w:hanging="233"/>
      </w:pPr>
      <w:rPr>
        <w:rFonts w:hint="default"/>
      </w:rPr>
    </w:lvl>
    <w:lvl w:ilvl="8">
      <w:start w:val="0"/>
      <w:numFmt w:val="bullet"/>
      <w:lvlText w:val="•"/>
      <w:lvlJc w:val="left"/>
      <w:pPr>
        <w:ind w:left="8819" w:hanging="233"/>
      </w:pPr>
      <w:rPr>
        <w:rFonts w:hint="default"/>
      </w:rPr>
    </w:lvl>
  </w:abstractNum>
  <w:abstractNum w:abstractNumId="7">
    <w:multiLevelType w:val="hybridMultilevel"/>
    <w:lvl w:ilvl="0">
      <w:start w:val="1"/>
      <w:numFmt w:val="lowerLetter"/>
      <w:lvlText w:val="%1)"/>
      <w:lvlJc w:val="left"/>
      <w:pPr>
        <w:ind w:left="877" w:hanging="401"/>
        <w:jc w:val="right"/>
      </w:pPr>
      <w:rPr>
        <w:rFonts w:hint="default" w:ascii="Arial" w:hAnsi="Arial" w:eastAsia="Arial" w:cs="Arial"/>
        <w:spacing w:val="-1"/>
        <w:w w:val="99"/>
        <w:sz w:val="20"/>
        <w:szCs w:val="20"/>
      </w:rPr>
    </w:lvl>
    <w:lvl w:ilvl="1">
      <w:start w:val="1"/>
      <w:numFmt w:val="decimal"/>
      <w:lvlText w:val="%2)"/>
      <w:lvlJc w:val="left"/>
      <w:pPr>
        <w:ind w:left="1955" w:hanging="399"/>
        <w:jc w:val="left"/>
      </w:pPr>
      <w:rPr>
        <w:rFonts w:hint="default" w:ascii="Arial" w:hAnsi="Arial" w:eastAsia="Arial" w:cs="Arial"/>
        <w:spacing w:val="-1"/>
        <w:w w:val="99"/>
        <w:sz w:val="20"/>
        <w:szCs w:val="20"/>
      </w:rPr>
    </w:lvl>
    <w:lvl w:ilvl="2">
      <w:start w:val="0"/>
      <w:numFmt w:val="bullet"/>
      <w:lvlText w:val="•"/>
      <w:lvlJc w:val="left"/>
      <w:pPr>
        <w:ind w:left="2976" w:hanging="399"/>
      </w:pPr>
      <w:rPr>
        <w:rFonts w:hint="default"/>
      </w:rPr>
    </w:lvl>
    <w:lvl w:ilvl="3">
      <w:start w:val="0"/>
      <w:numFmt w:val="bullet"/>
      <w:lvlText w:val="•"/>
      <w:lvlJc w:val="left"/>
      <w:pPr>
        <w:ind w:left="3992" w:hanging="399"/>
      </w:pPr>
      <w:rPr>
        <w:rFonts w:hint="default"/>
      </w:rPr>
    </w:lvl>
    <w:lvl w:ilvl="4">
      <w:start w:val="0"/>
      <w:numFmt w:val="bullet"/>
      <w:lvlText w:val="•"/>
      <w:lvlJc w:val="left"/>
      <w:pPr>
        <w:ind w:left="5008" w:hanging="399"/>
      </w:pPr>
      <w:rPr>
        <w:rFonts w:hint="default"/>
      </w:rPr>
    </w:lvl>
    <w:lvl w:ilvl="5">
      <w:start w:val="0"/>
      <w:numFmt w:val="bullet"/>
      <w:lvlText w:val="•"/>
      <w:lvlJc w:val="left"/>
      <w:pPr>
        <w:ind w:left="6025" w:hanging="399"/>
      </w:pPr>
      <w:rPr>
        <w:rFonts w:hint="default"/>
      </w:rPr>
    </w:lvl>
    <w:lvl w:ilvl="6">
      <w:start w:val="0"/>
      <w:numFmt w:val="bullet"/>
      <w:lvlText w:val="•"/>
      <w:lvlJc w:val="left"/>
      <w:pPr>
        <w:ind w:left="7041" w:hanging="399"/>
      </w:pPr>
      <w:rPr>
        <w:rFonts w:hint="default"/>
      </w:rPr>
    </w:lvl>
    <w:lvl w:ilvl="7">
      <w:start w:val="0"/>
      <w:numFmt w:val="bullet"/>
      <w:lvlText w:val="•"/>
      <w:lvlJc w:val="left"/>
      <w:pPr>
        <w:ind w:left="8057" w:hanging="399"/>
      </w:pPr>
      <w:rPr>
        <w:rFonts w:hint="default"/>
      </w:rPr>
    </w:lvl>
    <w:lvl w:ilvl="8">
      <w:start w:val="0"/>
      <w:numFmt w:val="bullet"/>
      <w:lvlText w:val="•"/>
      <w:lvlJc w:val="left"/>
      <w:pPr>
        <w:ind w:left="9073" w:hanging="399"/>
      </w:pPr>
      <w:rPr>
        <w:rFonts w:hint="default"/>
      </w:rPr>
    </w:lvl>
  </w:abstractNum>
  <w:abstractNum w:abstractNumId="6">
    <w:multiLevelType w:val="hybridMultilevel"/>
    <w:lvl w:ilvl="0">
      <w:start w:val="1"/>
      <w:numFmt w:val="lowerLetter"/>
      <w:lvlText w:val="%1)"/>
      <w:lvlJc w:val="left"/>
      <w:pPr>
        <w:ind w:left="877" w:hanging="401"/>
        <w:jc w:val="left"/>
      </w:pPr>
      <w:rPr>
        <w:rFonts w:hint="default" w:ascii="Arial" w:hAnsi="Arial" w:eastAsia="Arial" w:cs="Arial"/>
        <w:spacing w:val="-1"/>
        <w:w w:val="99"/>
        <w:sz w:val="20"/>
        <w:szCs w:val="20"/>
      </w:rPr>
    </w:lvl>
    <w:lvl w:ilvl="1">
      <w:start w:val="0"/>
      <w:numFmt w:val="bullet"/>
      <w:lvlText w:val="•"/>
      <w:lvlJc w:val="left"/>
      <w:pPr>
        <w:ind w:left="1902" w:hanging="401"/>
      </w:pPr>
      <w:rPr>
        <w:rFonts w:hint="default"/>
      </w:rPr>
    </w:lvl>
    <w:lvl w:ilvl="2">
      <w:start w:val="0"/>
      <w:numFmt w:val="bullet"/>
      <w:lvlText w:val="•"/>
      <w:lvlJc w:val="left"/>
      <w:pPr>
        <w:ind w:left="2925" w:hanging="401"/>
      </w:pPr>
      <w:rPr>
        <w:rFonts w:hint="default"/>
      </w:rPr>
    </w:lvl>
    <w:lvl w:ilvl="3">
      <w:start w:val="0"/>
      <w:numFmt w:val="bullet"/>
      <w:lvlText w:val="•"/>
      <w:lvlJc w:val="left"/>
      <w:pPr>
        <w:ind w:left="3947" w:hanging="401"/>
      </w:pPr>
      <w:rPr>
        <w:rFonts w:hint="default"/>
      </w:rPr>
    </w:lvl>
    <w:lvl w:ilvl="4">
      <w:start w:val="0"/>
      <w:numFmt w:val="bullet"/>
      <w:lvlText w:val="•"/>
      <w:lvlJc w:val="left"/>
      <w:pPr>
        <w:ind w:left="4970" w:hanging="401"/>
      </w:pPr>
      <w:rPr>
        <w:rFonts w:hint="default"/>
      </w:rPr>
    </w:lvl>
    <w:lvl w:ilvl="5">
      <w:start w:val="0"/>
      <w:numFmt w:val="bullet"/>
      <w:lvlText w:val="•"/>
      <w:lvlJc w:val="left"/>
      <w:pPr>
        <w:ind w:left="5993" w:hanging="401"/>
      </w:pPr>
      <w:rPr>
        <w:rFonts w:hint="default"/>
      </w:rPr>
    </w:lvl>
    <w:lvl w:ilvl="6">
      <w:start w:val="0"/>
      <w:numFmt w:val="bullet"/>
      <w:lvlText w:val="•"/>
      <w:lvlJc w:val="left"/>
      <w:pPr>
        <w:ind w:left="7015" w:hanging="401"/>
      </w:pPr>
      <w:rPr>
        <w:rFonts w:hint="default"/>
      </w:rPr>
    </w:lvl>
    <w:lvl w:ilvl="7">
      <w:start w:val="0"/>
      <w:numFmt w:val="bullet"/>
      <w:lvlText w:val="•"/>
      <w:lvlJc w:val="left"/>
      <w:pPr>
        <w:ind w:left="8038" w:hanging="401"/>
      </w:pPr>
      <w:rPr>
        <w:rFonts w:hint="default"/>
      </w:rPr>
    </w:lvl>
    <w:lvl w:ilvl="8">
      <w:start w:val="0"/>
      <w:numFmt w:val="bullet"/>
      <w:lvlText w:val="•"/>
      <w:lvlJc w:val="left"/>
      <w:pPr>
        <w:ind w:left="9061" w:hanging="401"/>
      </w:pPr>
      <w:rPr>
        <w:rFonts w:hint="default"/>
      </w:rPr>
    </w:lvl>
  </w:abstractNum>
  <w:abstractNum w:abstractNumId="5">
    <w:multiLevelType w:val="hybridMultilevel"/>
    <w:lvl w:ilvl="0">
      <w:start w:val="1"/>
      <w:numFmt w:val="lowerLetter"/>
      <w:lvlText w:val="%1)"/>
      <w:lvlJc w:val="left"/>
      <w:pPr>
        <w:ind w:left="877" w:hanging="401"/>
        <w:jc w:val="left"/>
      </w:pPr>
      <w:rPr>
        <w:rFonts w:hint="default" w:ascii="Arial" w:hAnsi="Arial" w:eastAsia="Arial" w:cs="Arial"/>
        <w:spacing w:val="-1"/>
        <w:w w:val="99"/>
        <w:sz w:val="20"/>
        <w:szCs w:val="20"/>
      </w:rPr>
    </w:lvl>
    <w:lvl w:ilvl="1">
      <w:start w:val="0"/>
      <w:numFmt w:val="bullet"/>
      <w:lvlText w:val="•"/>
      <w:lvlJc w:val="left"/>
      <w:pPr>
        <w:ind w:left="1902" w:hanging="401"/>
      </w:pPr>
      <w:rPr>
        <w:rFonts w:hint="default"/>
      </w:rPr>
    </w:lvl>
    <w:lvl w:ilvl="2">
      <w:start w:val="0"/>
      <w:numFmt w:val="bullet"/>
      <w:lvlText w:val="•"/>
      <w:lvlJc w:val="left"/>
      <w:pPr>
        <w:ind w:left="2925" w:hanging="401"/>
      </w:pPr>
      <w:rPr>
        <w:rFonts w:hint="default"/>
      </w:rPr>
    </w:lvl>
    <w:lvl w:ilvl="3">
      <w:start w:val="0"/>
      <w:numFmt w:val="bullet"/>
      <w:lvlText w:val="•"/>
      <w:lvlJc w:val="left"/>
      <w:pPr>
        <w:ind w:left="3947" w:hanging="401"/>
      </w:pPr>
      <w:rPr>
        <w:rFonts w:hint="default"/>
      </w:rPr>
    </w:lvl>
    <w:lvl w:ilvl="4">
      <w:start w:val="0"/>
      <w:numFmt w:val="bullet"/>
      <w:lvlText w:val="•"/>
      <w:lvlJc w:val="left"/>
      <w:pPr>
        <w:ind w:left="4970" w:hanging="401"/>
      </w:pPr>
      <w:rPr>
        <w:rFonts w:hint="default"/>
      </w:rPr>
    </w:lvl>
    <w:lvl w:ilvl="5">
      <w:start w:val="0"/>
      <w:numFmt w:val="bullet"/>
      <w:lvlText w:val="•"/>
      <w:lvlJc w:val="left"/>
      <w:pPr>
        <w:ind w:left="5993" w:hanging="401"/>
      </w:pPr>
      <w:rPr>
        <w:rFonts w:hint="default"/>
      </w:rPr>
    </w:lvl>
    <w:lvl w:ilvl="6">
      <w:start w:val="0"/>
      <w:numFmt w:val="bullet"/>
      <w:lvlText w:val="•"/>
      <w:lvlJc w:val="left"/>
      <w:pPr>
        <w:ind w:left="7015" w:hanging="401"/>
      </w:pPr>
      <w:rPr>
        <w:rFonts w:hint="default"/>
      </w:rPr>
    </w:lvl>
    <w:lvl w:ilvl="7">
      <w:start w:val="0"/>
      <w:numFmt w:val="bullet"/>
      <w:lvlText w:val="•"/>
      <w:lvlJc w:val="left"/>
      <w:pPr>
        <w:ind w:left="8038" w:hanging="401"/>
      </w:pPr>
      <w:rPr>
        <w:rFonts w:hint="default"/>
      </w:rPr>
    </w:lvl>
    <w:lvl w:ilvl="8">
      <w:start w:val="0"/>
      <w:numFmt w:val="bullet"/>
      <w:lvlText w:val="•"/>
      <w:lvlJc w:val="left"/>
      <w:pPr>
        <w:ind w:left="9061" w:hanging="401"/>
      </w:pPr>
      <w:rPr>
        <w:rFonts w:hint="default"/>
      </w:rPr>
    </w:lvl>
  </w:abstractNum>
  <w:abstractNum w:abstractNumId="4">
    <w:multiLevelType w:val="hybridMultilevel"/>
    <w:lvl w:ilvl="0">
      <w:start w:val="1"/>
      <w:numFmt w:val="lowerLetter"/>
      <w:lvlText w:val="%1)"/>
      <w:lvlJc w:val="left"/>
      <w:pPr>
        <w:ind w:left="1556" w:hanging="401"/>
        <w:jc w:val="left"/>
      </w:pPr>
      <w:rPr>
        <w:rFonts w:hint="default" w:ascii="Arial" w:hAnsi="Arial" w:eastAsia="Arial" w:cs="Arial"/>
        <w:spacing w:val="-1"/>
        <w:w w:val="99"/>
        <w:sz w:val="20"/>
        <w:szCs w:val="20"/>
      </w:rPr>
    </w:lvl>
    <w:lvl w:ilvl="1">
      <w:start w:val="0"/>
      <w:numFmt w:val="bullet"/>
      <w:lvlText w:val="•"/>
      <w:lvlJc w:val="left"/>
      <w:pPr>
        <w:ind w:left="2514" w:hanging="401"/>
      </w:pPr>
      <w:rPr>
        <w:rFonts w:hint="default"/>
      </w:rPr>
    </w:lvl>
    <w:lvl w:ilvl="2">
      <w:start w:val="0"/>
      <w:numFmt w:val="bullet"/>
      <w:lvlText w:val="•"/>
      <w:lvlJc w:val="left"/>
      <w:pPr>
        <w:ind w:left="3469" w:hanging="401"/>
      </w:pPr>
      <w:rPr>
        <w:rFonts w:hint="default"/>
      </w:rPr>
    </w:lvl>
    <w:lvl w:ilvl="3">
      <w:start w:val="0"/>
      <w:numFmt w:val="bullet"/>
      <w:lvlText w:val="•"/>
      <w:lvlJc w:val="left"/>
      <w:pPr>
        <w:ind w:left="4423" w:hanging="401"/>
      </w:pPr>
      <w:rPr>
        <w:rFonts w:hint="default"/>
      </w:rPr>
    </w:lvl>
    <w:lvl w:ilvl="4">
      <w:start w:val="0"/>
      <w:numFmt w:val="bullet"/>
      <w:lvlText w:val="•"/>
      <w:lvlJc w:val="left"/>
      <w:pPr>
        <w:ind w:left="5378" w:hanging="401"/>
      </w:pPr>
      <w:rPr>
        <w:rFonts w:hint="default"/>
      </w:rPr>
    </w:lvl>
    <w:lvl w:ilvl="5">
      <w:start w:val="0"/>
      <w:numFmt w:val="bullet"/>
      <w:lvlText w:val="•"/>
      <w:lvlJc w:val="left"/>
      <w:pPr>
        <w:ind w:left="6333" w:hanging="401"/>
      </w:pPr>
      <w:rPr>
        <w:rFonts w:hint="default"/>
      </w:rPr>
    </w:lvl>
    <w:lvl w:ilvl="6">
      <w:start w:val="0"/>
      <w:numFmt w:val="bullet"/>
      <w:lvlText w:val="•"/>
      <w:lvlJc w:val="left"/>
      <w:pPr>
        <w:ind w:left="7287" w:hanging="401"/>
      </w:pPr>
      <w:rPr>
        <w:rFonts w:hint="default"/>
      </w:rPr>
    </w:lvl>
    <w:lvl w:ilvl="7">
      <w:start w:val="0"/>
      <w:numFmt w:val="bullet"/>
      <w:lvlText w:val="•"/>
      <w:lvlJc w:val="left"/>
      <w:pPr>
        <w:ind w:left="8242" w:hanging="401"/>
      </w:pPr>
      <w:rPr>
        <w:rFonts w:hint="default"/>
      </w:rPr>
    </w:lvl>
    <w:lvl w:ilvl="8">
      <w:start w:val="0"/>
      <w:numFmt w:val="bullet"/>
      <w:lvlText w:val="•"/>
      <w:lvlJc w:val="left"/>
      <w:pPr>
        <w:ind w:left="9197" w:hanging="401"/>
      </w:pPr>
      <w:rPr>
        <w:rFonts w:hint="default"/>
      </w:rPr>
    </w:lvl>
  </w:abstractNum>
  <w:abstractNum w:abstractNumId="3">
    <w:multiLevelType w:val="hybridMultilevel"/>
    <w:lvl w:ilvl="0">
      <w:start w:val="1"/>
      <w:numFmt w:val="lowerLetter"/>
      <w:lvlText w:val="%1)"/>
      <w:lvlJc w:val="left"/>
      <w:pPr>
        <w:ind w:left="1556" w:hanging="401"/>
        <w:jc w:val="left"/>
      </w:pPr>
      <w:rPr>
        <w:rFonts w:hint="default" w:ascii="Arial" w:hAnsi="Arial" w:eastAsia="Arial" w:cs="Arial"/>
        <w:spacing w:val="-1"/>
        <w:w w:val="99"/>
        <w:sz w:val="20"/>
        <w:szCs w:val="20"/>
      </w:rPr>
    </w:lvl>
    <w:lvl w:ilvl="1">
      <w:start w:val="0"/>
      <w:numFmt w:val="bullet"/>
      <w:lvlText w:val="•"/>
      <w:lvlJc w:val="left"/>
      <w:pPr>
        <w:ind w:left="2514" w:hanging="401"/>
      </w:pPr>
      <w:rPr>
        <w:rFonts w:hint="default"/>
      </w:rPr>
    </w:lvl>
    <w:lvl w:ilvl="2">
      <w:start w:val="0"/>
      <w:numFmt w:val="bullet"/>
      <w:lvlText w:val="•"/>
      <w:lvlJc w:val="left"/>
      <w:pPr>
        <w:ind w:left="3469" w:hanging="401"/>
      </w:pPr>
      <w:rPr>
        <w:rFonts w:hint="default"/>
      </w:rPr>
    </w:lvl>
    <w:lvl w:ilvl="3">
      <w:start w:val="0"/>
      <w:numFmt w:val="bullet"/>
      <w:lvlText w:val="•"/>
      <w:lvlJc w:val="left"/>
      <w:pPr>
        <w:ind w:left="4423" w:hanging="401"/>
      </w:pPr>
      <w:rPr>
        <w:rFonts w:hint="default"/>
      </w:rPr>
    </w:lvl>
    <w:lvl w:ilvl="4">
      <w:start w:val="0"/>
      <w:numFmt w:val="bullet"/>
      <w:lvlText w:val="•"/>
      <w:lvlJc w:val="left"/>
      <w:pPr>
        <w:ind w:left="5378" w:hanging="401"/>
      </w:pPr>
      <w:rPr>
        <w:rFonts w:hint="default"/>
      </w:rPr>
    </w:lvl>
    <w:lvl w:ilvl="5">
      <w:start w:val="0"/>
      <w:numFmt w:val="bullet"/>
      <w:lvlText w:val="•"/>
      <w:lvlJc w:val="left"/>
      <w:pPr>
        <w:ind w:left="6333" w:hanging="401"/>
      </w:pPr>
      <w:rPr>
        <w:rFonts w:hint="default"/>
      </w:rPr>
    </w:lvl>
    <w:lvl w:ilvl="6">
      <w:start w:val="0"/>
      <w:numFmt w:val="bullet"/>
      <w:lvlText w:val="•"/>
      <w:lvlJc w:val="left"/>
      <w:pPr>
        <w:ind w:left="7287" w:hanging="401"/>
      </w:pPr>
      <w:rPr>
        <w:rFonts w:hint="default"/>
      </w:rPr>
    </w:lvl>
    <w:lvl w:ilvl="7">
      <w:start w:val="0"/>
      <w:numFmt w:val="bullet"/>
      <w:lvlText w:val="•"/>
      <w:lvlJc w:val="left"/>
      <w:pPr>
        <w:ind w:left="8242" w:hanging="401"/>
      </w:pPr>
      <w:rPr>
        <w:rFonts w:hint="default"/>
      </w:rPr>
    </w:lvl>
    <w:lvl w:ilvl="8">
      <w:start w:val="0"/>
      <w:numFmt w:val="bullet"/>
      <w:lvlText w:val="•"/>
      <w:lvlJc w:val="left"/>
      <w:pPr>
        <w:ind w:left="9197" w:hanging="401"/>
      </w:pPr>
      <w:rPr>
        <w:rFonts w:hint="default"/>
      </w:rPr>
    </w:lvl>
  </w:abstractNum>
  <w:abstractNum w:abstractNumId="2">
    <w:multiLevelType w:val="hybridMultilevel"/>
    <w:lvl w:ilvl="0">
      <w:start w:val="1"/>
      <w:numFmt w:val="lowerLetter"/>
      <w:lvlText w:val="%1)"/>
      <w:lvlJc w:val="left"/>
      <w:pPr>
        <w:ind w:left="877" w:hanging="401"/>
        <w:jc w:val="left"/>
      </w:pPr>
      <w:rPr>
        <w:rFonts w:hint="default" w:ascii="Arial" w:hAnsi="Arial" w:eastAsia="Arial" w:cs="Arial"/>
        <w:spacing w:val="-1"/>
        <w:w w:val="99"/>
        <w:sz w:val="20"/>
        <w:szCs w:val="20"/>
      </w:rPr>
    </w:lvl>
    <w:lvl w:ilvl="1">
      <w:start w:val="0"/>
      <w:numFmt w:val="bullet"/>
      <w:lvlText w:val="•"/>
      <w:lvlJc w:val="left"/>
      <w:pPr>
        <w:ind w:left="1902" w:hanging="401"/>
      </w:pPr>
      <w:rPr>
        <w:rFonts w:hint="default"/>
      </w:rPr>
    </w:lvl>
    <w:lvl w:ilvl="2">
      <w:start w:val="0"/>
      <w:numFmt w:val="bullet"/>
      <w:lvlText w:val="•"/>
      <w:lvlJc w:val="left"/>
      <w:pPr>
        <w:ind w:left="2925" w:hanging="401"/>
      </w:pPr>
      <w:rPr>
        <w:rFonts w:hint="default"/>
      </w:rPr>
    </w:lvl>
    <w:lvl w:ilvl="3">
      <w:start w:val="0"/>
      <w:numFmt w:val="bullet"/>
      <w:lvlText w:val="•"/>
      <w:lvlJc w:val="left"/>
      <w:pPr>
        <w:ind w:left="3947" w:hanging="401"/>
      </w:pPr>
      <w:rPr>
        <w:rFonts w:hint="default"/>
      </w:rPr>
    </w:lvl>
    <w:lvl w:ilvl="4">
      <w:start w:val="0"/>
      <w:numFmt w:val="bullet"/>
      <w:lvlText w:val="•"/>
      <w:lvlJc w:val="left"/>
      <w:pPr>
        <w:ind w:left="4970" w:hanging="401"/>
      </w:pPr>
      <w:rPr>
        <w:rFonts w:hint="default"/>
      </w:rPr>
    </w:lvl>
    <w:lvl w:ilvl="5">
      <w:start w:val="0"/>
      <w:numFmt w:val="bullet"/>
      <w:lvlText w:val="•"/>
      <w:lvlJc w:val="left"/>
      <w:pPr>
        <w:ind w:left="5993" w:hanging="401"/>
      </w:pPr>
      <w:rPr>
        <w:rFonts w:hint="default"/>
      </w:rPr>
    </w:lvl>
    <w:lvl w:ilvl="6">
      <w:start w:val="0"/>
      <w:numFmt w:val="bullet"/>
      <w:lvlText w:val="•"/>
      <w:lvlJc w:val="left"/>
      <w:pPr>
        <w:ind w:left="7015" w:hanging="401"/>
      </w:pPr>
      <w:rPr>
        <w:rFonts w:hint="default"/>
      </w:rPr>
    </w:lvl>
    <w:lvl w:ilvl="7">
      <w:start w:val="0"/>
      <w:numFmt w:val="bullet"/>
      <w:lvlText w:val="•"/>
      <w:lvlJc w:val="left"/>
      <w:pPr>
        <w:ind w:left="8038" w:hanging="401"/>
      </w:pPr>
      <w:rPr>
        <w:rFonts w:hint="default"/>
      </w:rPr>
    </w:lvl>
    <w:lvl w:ilvl="8">
      <w:start w:val="0"/>
      <w:numFmt w:val="bullet"/>
      <w:lvlText w:val="•"/>
      <w:lvlJc w:val="left"/>
      <w:pPr>
        <w:ind w:left="9061" w:hanging="401"/>
      </w:pPr>
      <w:rPr>
        <w:rFonts w:hint="default"/>
      </w:rPr>
    </w:lvl>
  </w:abstractNum>
  <w:abstractNum w:abstractNumId="1">
    <w:multiLevelType w:val="hybridMultilevel"/>
    <w:lvl w:ilvl="0">
      <w:start w:val="0"/>
      <w:numFmt w:val="decimal"/>
      <w:lvlText w:val="%1"/>
      <w:lvlJc w:val="left"/>
      <w:pPr>
        <w:ind w:left="1556" w:hanging="401"/>
        <w:jc w:val="right"/>
      </w:pPr>
      <w:rPr>
        <w:rFonts w:hint="default"/>
        <w:b/>
        <w:bCs/>
        <w:w w:val="100"/>
      </w:rPr>
    </w:lvl>
    <w:lvl w:ilvl="1">
      <w:start w:val="1"/>
      <w:numFmt w:val="decimal"/>
      <w:lvlText w:val="%1.%2"/>
      <w:lvlJc w:val="left"/>
      <w:pPr>
        <w:ind w:left="1655" w:hanging="500"/>
        <w:jc w:val="left"/>
      </w:pPr>
      <w:rPr>
        <w:rFonts w:hint="default"/>
        <w:b/>
        <w:bCs/>
        <w:spacing w:val="-1"/>
        <w:w w:val="100"/>
      </w:rPr>
    </w:lvl>
    <w:lvl w:ilvl="2">
      <w:start w:val="1"/>
      <w:numFmt w:val="decimal"/>
      <w:lvlText w:val="%1.%2.%3"/>
      <w:lvlJc w:val="left"/>
      <w:pPr>
        <w:ind w:left="1134" w:hanging="500"/>
        <w:jc w:val="right"/>
      </w:pPr>
      <w:rPr>
        <w:rFonts w:hint="default" w:ascii="Arial" w:hAnsi="Arial" w:eastAsia="Arial" w:cs="Arial"/>
        <w:b/>
        <w:bCs/>
        <w:spacing w:val="-1"/>
        <w:w w:val="99"/>
        <w:sz w:val="20"/>
        <w:szCs w:val="20"/>
      </w:rPr>
    </w:lvl>
    <w:lvl w:ilvl="3">
      <w:start w:val="0"/>
      <w:numFmt w:val="bullet"/>
      <w:lvlText w:val="•"/>
      <w:lvlJc w:val="left"/>
      <w:pPr>
        <w:ind w:left="1660" w:hanging="500"/>
      </w:pPr>
      <w:rPr>
        <w:rFonts w:hint="default"/>
      </w:rPr>
    </w:lvl>
    <w:lvl w:ilvl="4">
      <w:start w:val="0"/>
      <w:numFmt w:val="bullet"/>
      <w:lvlText w:val="•"/>
      <w:lvlJc w:val="left"/>
      <w:pPr>
        <w:ind w:left="1720" w:hanging="500"/>
      </w:pPr>
      <w:rPr>
        <w:rFonts w:hint="default"/>
      </w:rPr>
    </w:lvl>
    <w:lvl w:ilvl="5">
      <w:start w:val="0"/>
      <w:numFmt w:val="bullet"/>
      <w:lvlText w:val="•"/>
      <w:lvlJc w:val="left"/>
      <w:pPr>
        <w:ind w:left="3284" w:hanging="500"/>
      </w:pPr>
      <w:rPr>
        <w:rFonts w:hint="default"/>
      </w:rPr>
    </w:lvl>
    <w:lvl w:ilvl="6">
      <w:start w:val="0"/>
      <w:numFmt w:val="bullet"/>
      <w:lvlText w:val="•"/>
      <w:lvlJc w:val="left"/>
      <w:pPr>
        <w:ind w:left="4848" w:hanging="500"/>
      </w:pPr>
      <w:rPr>
        <w:rFonts w:hint="default"/>
      </w:rPr>
    </w:lvl>
    <w:lvl w:ilvl="7">
      <w:start w:val="0"/>
      <w:numFmt w:val="bullet"/>
      <w:lvlText w:val="•"/>
      <w:lvlJc w:val="left"/>
      <w:pPr>
        <w:ind w:left="6413" w:hanging="500"/>
      </w:pPr>
      <w:rPr>
        <w:rFonts w:hint="default"/>
      </w:rPr>
    </w:lvl>
    <w:lvl w:ilvl="8">
      <w:start w:val="0"/>
      <w:numFmt w:val="bullet"/>
      <w:lvlText w:val="•"/>
      <w:lvlJc w:val="left"/>
      <w:pPr>
        <w:ind w:left="7977" w:hanging="500"/>
      </w:pPr>
      <w:rPr>
        <w:rFonts w:hint="default"/>
      </w:rPr>
    </w:lvl>
  </w:abstractNum>
  <w:abstractNum w:abstractNumId="0">
    <w:multiLevelType w:val="hybridMultilevel"/>
    <w:lvl w:ilvl="0">
      <w:start w:val="0"/>
      <w:numFmt w:val="decimal"/>
      <w:lvlText w:val="%1"/>
      <w:lvlJc w:val="left"/>
      <w:pPr>
        <w:ind w:left="1184" w:hanging="708"/>
        <w:jc w:val="left"/>
      </w:pPr>
      <w:rPr>
        <w:rFonts w:hint="default" w:ascii="Arial" w:hAnsi="Arial" w:eastAsia="Arial" w:cs="Arial"/>
        <w:b/>
        <w:bCs/>
        <w:w w:val="99"/>
        <w:sz w:val="20"/>
        <w:szCs w:val="20"/>
      </w:rPr>
    </w:lvl>
    <w:lvl w:ilvl="1">
      <w:start w:val="1"/>
      <w:numFmt w:val="decimal"/>
      <w:lvlText w:val="%1.%2"/>
      <w:lvlJc w:val="left"/>
      <w:pPr>
        <w:ind w:left="1196" w:hanging="721"/>
        <w:jc w:val="left"/>
      </w:pPr>
      <w:rPr>
        <w:rFonts w:hint="default" w:ascii="Arial" w:hAnsi="Arial" w:eastAsia="Arial" w:cs="Arial"/>
        <w:b/>
        <w:bCs/>
        <w:spacing w:val="-1"/>
        <w:w w:val="99"/>
        <w:sz w:val="20"/>
        <w:szCs w:val="20"/>
      </w:rPr>
    </w:lvl>
    <w:lvl w:ilvl="2">
      <w:start w:val="1"/>
      <w:numFmt w:val="lowerLetter"/>
      <w:lvlText w:val="%3)"/>
      <w:lvlJc w:val="left"/>
      <w:pPr>
        <w:ind w:left="1556" w:hanging="401"/>
        <w:jc w:val="left"/>
      </w:pPr>
      <w:rPr>
        <w:rFonts w:hint="default" w:ascii="Arial" w:hAnsi="Arial" w:eastAsia="Arial" w:cs="Arial"/>
        <w:spacing w:val="-1"/>
        <w:w w:val="99"/>
        <w:sz w:val="20"/>
        <w:szCs w:val="20"/>
      </w:rPr>
    </w:lvl>
    <w:lvl w:ilvl="3">
      <w:start w:val="0"/>
      <w:numFmt w:val="bullet"/>
      <w:lvlText w:val="•"/>
      <w:lvlJc w:val="left"/>
      <w:pPr>
        <w:ind w:left="2753" w:hanging="401"/>
      </w:pPr>
      <w:rPr>
        <w:rFonts w:hint="default"/>
      </w:rPr>
    </w:lvl>
    <w:lvl w:ilvl="4">
      <w:start w:val="0"/>
      <w:numFmt w:val="bullet"/>
      <w:lvlText w:val="•"/>
      <w:lvlJc w:val="left"/>
      <w:pPr>
        <w:ind w:left="3946" w:hanging="401"/>
      </w:pPr>
      <w:rPr>
        <w:rFonts w:hint="default"/>
      </w:rPr>
    </w:lvl>
    <w:lvl w:ilvl="5">
      <w:start w:val="0"/>
      <w:numFmt w:val="bullet"/>
      <w:lvlText w:val="•"/>
      <w:lvlJc w:val="left"/>
      <w:pPr>
        <w:ind w:left="5139" w:hanging="401"/>
      </w:pPr>
      <w:rPr>
        <w:rFonts w:hint="default"/>
      </w:rPr>
    </w:lvl>
    <w:lvl w:ilvl="6">
      <w:start w:val="0"/>
      <w:numFmt w:val="bullet"/>
      <w:lvlText w:val="•"/>
      <w:lvlJc w:val="left"/>
      <w:pPr>
        <w:ind w:left="6333" w:hanging="401"/>
      </w:pPr>
      <w:rPr>
        <w:rFonts w:hint="default"/>
      </w:rPr>
    </w:lvl>
    <w:lvl w:ilvl="7">
      <w:start w:val="0"/>
      <w:numFmt w:val="bullet"/>
      <w:lvlText w:val="•"/>
      <w:lvlJc w:val="left"/>
      <w:pPr>
        <w:ind w:left="7526" w:hanging="401"/>
      </w:pPr>
      <w:rPr>
        <w:rFonts w:hint="default"/>
      </w:rPr>
    </w:lvl>
    <w:lvl w:ilvl="8">
      <w:start w:val="0"/>
      <w:numFmt w:val="bullet"/>
      <w:lvlText w:val="•"/>
      <w:lvlJc w:val="left"/>
      <w:pPr>
        <w:ind w:left="8719" w:hanging="401"/>
      </w:pPr>
      <w:rPr>
        <w:rFonts w:hint="default"/>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TOC1" w:type="paragraph">
    <w:name w:val="TOC 1"/>
    <w:basedOn w:val="Normal"/>
    <w:uiPriority w:val="1"/>
    <w:qFormat/>
    <w:pPr>
      <w:ind w:left="1196" w:hanging="721"/>
    </w:pPr>
    <w:rPr>
      <w:rFonts w:ascii="Arial" w:hAnsi="Arial" w:eastAsia="Arial" w:cs="Arial"/>
      <w:b/>
      <w:bCs/>
      <w:sz w:val="20"/>
      <w:szCs w:val="20"/>
    </w:rPr>
  </w:style>
  <w:style w:styleId="BodyText" w:type="paragraph">
    <w:name w:val="Body Text"/>
    <w:basedOn w:val="Normal"/>
    <w:uiPriority w:val="1"/>
    <w:qFormat/>
    <w:pPr/>
    <w:rPr>
      <w:rFonts w:ascii="Arial" w:hAnsi="Arial" w:eastAsia="Arial" w:cs="Arial"/>
      <w:sz w:val="20"/>
      <w:szCs w:val="20"/>
    </w:rPr>
  </w:style>
  <w:style w:styleId="Heading1" w:type="paragraph">
    <w:name w:val="Heading 1"/>
    <w:basedOn w:val="Normal"/>
    <w:uiPriority w:val="1"/>
    <w:qFormat/>
    <w:pPr>
      <w:ind w:left="2408"/>
      <w:jc w:val="center"/>
      <w:outlineLvl w:val="1"/>
    </w:pPr>
    <w:rPr>
      <w:rFonts w:ascii="Arial" w:hAnsi="Arial" w:eastAsia="Arial" w:cs="Arial"/>
      <w:b/>
      <w:bCs/>
      <w:sz w:val="28"/>
      <w:szCs w:val="28"/>
    </w:rPr>
  </w:style>
  <w:style w:styleId="Heading2" w:type="paragraph">
    <w:name w:val="Heading 2"/>
    <w:basedOn w:val="Normal"/>
    <w:uiPriority w:val="1"/>
    <w:qFormat/>
    <w:pPr>
      <w:spacing w:before="13"/>
      <w:ind w:left="20"/>
      <w:outlineLvl w:val="2"/>
    </w:pPr>
    <w:rPr>
      <w:rFonts w:ascii="Arial" w:hAnsi="Arial" w:eastAsia="Arial" w:cs="Arial"/>
      <w:b/>
      <w:bCs/>
      <w:sz w:val="22"/>
      <w:szCs w:val="22"/>
    </w:rPr>
  </w:style>
  <w:style w:styleId="Heading3" w:type="paragraph">
    <w:name w:val="Heading 3"/>
    <w:basedOn w:val="Normal"/>
    <w:uiPriority w:val="1"/>
    <w:qFormat/>
    <w:pPr>
      <w:ind w:left="1134" w:hanging="659"/>
      <w:outlineLvl w:val="3"/>
    </w:pPr>
    <w:rPr>
      <w:rFonts w:ascii="Arial" w:hAnsi="Arial" w:eastAsia="Arial" w:cs="Arial"/>
      <w:b/>
      <w:bCs/>
      <w:sz w:val="20"/>
      <w:szCs w:val="20"/>
    </w:rPr>
  </w:style>
  <w:style w:styleId="ListParagraph" w:type="paragraph">
    <w:name w:val="List Paragraph"/>
    <w:basedOn w:val="Normal"/>
    <w:uiPriority w:val="1"/>
    <w:qFormat/>
    <w:pPr>
      <w:ind w:left="877" w:hanging="401"/>
    </w:pPr>
    <w:rPr>
      <w:rFonts w:ascii="Arial" w:hAnsi="Arial" w:eastAsia="Arial" w:cs="Arial"/>
    </w:rPr>
  </w:style>
  <w:style w:styleId="TableParagraph" w:type="paragraph">
    <w:name w:val="Table Paragraph"/>
    <w:basedOn w:val="Normal"/>
    <w:uiPriority w:val="1"/>
    <w:qFormat/>
    <w:pPr>
      <w:spacing w:before="57"/>
      <w:ind w:left="115"/>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din.de/" TargetMode="External"/><Relationship Id="rId6" Type="http://schemas.openxmlformats.org/officeDocument/2006/relationships/hyperlink" Target="http://www.beuth.de/"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footer" Target="footer8.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9.xml"/><Relationship Id="rId28" Type="http://schemas.openxmlformats.org/officeDocument/2006/relationships/header" Target="header13.xml"/><Relationship Id="rId29" Type="http://schemas.openxmlformats.org/officeDocument/2006/relationships/header" Target="header14.xml"/><Relationship Id="rId30" Type="http://schemas.openxmlformats.org/officeDocument/2006/relationships/footer" Target="footer10.xml"/><Relationship Id="rId31" Type="http://schemas.openxmlformats.org/officeDocument/2006/relationships/header" Target="header15.xml"/><Relationship Id="rId32" Type="http://schemas.openxmlformats.org/officeDocument/2006/relationships/header" Target="header16.xml"/><Relationship Id="rId33" Type="http://schemas.openxmlformats.org/officeDocument/2006/relationships/footer" Target="footer11.xml"/><Relationship Id="rId34" Type="http://schemas.openxmlformats.org/officeDocument/2006/relationships/header" Target="header17.xml"/><Relationship Id="rId35" Type="http://schemas.openxmlformats.org/officeDocument/2006/relationships/header" Target="header18.xml"/><Relationship Id="rId36" Type="http://schemas.openxmlformats.org/officeDocument/2006/relationships/footer" Target="footer12.xml"/><Relationship Id="rId37" Type="http://schemas.openxmlformats.org/officeDocument/2006/relationships/header" Target="header19.xml"/><Relationship Id="rId38" Type="http://schemas.openxmlformats.org/officeDocument/2006/relationships/header" Target="header20.xml"/><Relationship Id="rId39" Type="http://schemas.openxmlformats.org/officeDocument/2006/relationships/footer" Target="footer13.xml"/><Relationship Id="rId40" Type="http://schemas.openxmlformats.org/officeDocument/2006/relationships/footer" Target="footer14.xml"/><Relationship Id="rId41" Type="http://schemas.openxmlformats.org/officeDocument/2006/relationships/header" Target="header21.xml"/><Relationship Id="rId42" Type="http://schemas.openxmlformats.org/officeDocument/2006/relationships/header" Target="header22.xml"/><Relationship Id="rId43" Type="http://schemas.openxmlformats.org/officeDocument/2006/relationships/footer" Target="footer15.xml"/><Relationship Id="rId44" Type="http://schemas.openxmlformats.org/officeDocument/2006/relationships/footer" Target="footer16.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17.xml"/><Relationship Id="rId48" Type="http://schemas.openxmlformats.org/officeDocument/2006/relationships/footer" Target="footer18.xml"/><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Technik-Sprachendienst GmbH</dc:creator>
  <dc:title>Datum:2013 Mai</dc:title>
  <dcterms:created xsi:type="dcterms:W3CDTF">2026-02-11T08:50:39Z</dcterms:created>
  <dcterms:modified xsi:type="dcterms:W3CDTF">2026-02-11T08:50:39Z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2015-01-30T00:00:00Z</vt:filetime>
  </property>
  <property fmtid="{D5CDD505-2E9C-101B-9397-08002B2CF9AE}" pid="3" name="Creator">
    <vt:lpwstr>Appligent SecurSign 5.1.1</vt:lpwstr>
  </property>
  <property fmtid="{D5CDD505-2E9C-101B-9397-08002B2CF9AE}" pid="4" name="LastSaved">
    <vt:filetime>2026-02-11T00:00:00Z</vt:filetime>
  </property>
</Properties>
</file>