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0F" w:rsidRDefault="00E0600F">
      <w:r>
        <w:t xml:space="preserve">Proces wgrywania </w:t>
      </w:r>
    </w:p>
    <w:p w:rsidR="00E0600F" w:rsidRDefault="00E0600F"/>
    <w:p w:rsidR="00E0600F" w:rsidRDefault="00E0600F">
      <w:r>
        <w:t>Pierwszym krokiem upgrade jest weryfikacja aktualnych wersji systemu.</w:t>
      </w:r>
      <w:r>
        <w:br/>
      </w:r>
      <w:r>
        <w:br/>
        <w:t>Dokonujemy tego wchodząc w menu Status - &gt; System -&gt; Library Information</w:t>
      </w:r>
    </w:p>
    <w:p w:rsidR="00E0600F" w:rsidRDefault="00E0600F"/>
    <w:p w:rsidR="00E0600F" w:rsidRDefault="00E0600F">
      <w:r>
        <w:rPr>
          <w:noProof/>
        </w:rPr>
        <w:drawing>
          <wp:inline distT="0" distB="0" distL="0" distR="0" wp14:anchorId="3EF038C6" wp14:editId="3EB1715C">
            <wp:extent cx="5760720" cy="30905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0F" w:rsidRDefault="00E0600F">
      <w:r>
        <w:t>Administration -&gt; Device -&gt; System Setings</w:t>
      </w:r>
    </w:p>
    <w:p w:rsidR="00E0600F" w:rsidRDefault="00E0600F">
      <w:r>
        <w:rPr>
          <w:noProof/>
        </w:rPr>
        <w:drawing>
          <wp:inline distT="0" distB="0" distL="0" distR="0" wp14:anchorId="68528024" wp14:editId="4BC6CD07">
            <wp:extent cx="5760720" cy="309054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0F" w:rsidRDefault="00E0600F"/>
    <w:p w:rsidR="00566EA5" w:rsidRDefault="00566EA5" w:rsidP="00566EA5">
      <w:r>
        <w:t>Następnie ze strony fix cenral (</w:t>
      </w:r>
      <w:r w:rsidRPr="00566EA5">
        <w:t>http://www.ibm.com/support/fixcentral</w:t>
      </w:r>
    </w:p>
    <w:p w:rsidR="00566EA5" w:rsidRDefault="00566EA5">
      <w:r>
        <w:lastRenderedPageBreak/>
        <w:t xml:space="preserve">) należy ściągnąć odpowiednią wersję fixa. </w:t>
      </w:r>
    </w:p>
    <w:p w:rsidR="00566EA5" w:rsidRDefault="00566EA5">
      <w:r>
        <w:t xml:space="preserve">Z „Product selector” wybieramy Websphere, z Product wybieramy „IBM DataPower Gateways” </w:t>
      </w:r>
    </w:p>
    <w:p w:rsidR="00566EA5" w:rsidRDefault="00566EA5">
      <w:r>
        <w:rPr>
          <w:noProof/>
        </w:rPr>
        <w:drawing>
          <wp:inline distT="0" distB="0" distL="0" distR="0">
            <wp:extent cx="5748655" cy="2964180"/>
            <wp:effectExtent l="0" t="0" r="444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EA5" w:rsidRDefault="00566EA5"/>
    <w:p w:rsidR="00C75170" w:rsidRDefault="00C75170">
      <w:r>
        <w:t>Tam ściągamy zadany fix.</w:t>
      </w:r>
    </w:p>
    <w:p w:rsidR="00C75170" w:rsidRDefault="00C75170"/>
    <w:p w:rsidR="00566EA5" w:rsidRDefault="00C75170">
      <w:r>
        <w:t>Dalej W konsoli administracyjnej DataPower w sekcji „System Control” W seksji „Boot Image” dokonujemy załadowanie pliku z fixem i klikamy „Boot Image”.</w:t>
      </w:r>
      <w:r>
        <w:br/>
        <w:t>Następnie klikamy „Confirm” i czekamy na przeładowanie systemu.</w:t>
      </w:r>
      <w:r>
        <w:br/>
      </w:r>
    </w:p>
    <w:p w:rsidR="00641B63" w:rsidRDefault="00641B63">
      <w:r>
        <w:t>Proces blokowania wywołań z zadanego zakresu ip.</w:t>
      </w:r>
    </w:p>
    <w:p w:rsidR="00641B63" w:rsidRDefault="00641B63"/>
    <w:p w:rsidR="00641B63" w:rsidRDefault="00641B63">
      <w:pPr>
        <w:rPr>
          <w:lang w:val="en"/>
        </w:rPr>
      </w:pPr>
      <w:r>
        <w:rPr>
          <w:lang w:val="en"/>
        </w:rPr>
        <w:t>Z menu wyszukujemy “</w:t>
      </w:r>
      <w:r>
        <w:rPr>
          <w:lang w:val="en"/>
        </w:rPr>
        <w:t>Access Control List</w:t>
      </w:r>
      <w:r>
        <w:rPr>
          <w:lang w:val="en"/>
        </w:rPr>
        <w:t>”</w:t>
      </w:r>
      <w:r>
        <w:rPr>
          <w:lang w:val="en"/>
        </w:rPr>
        <w:br/>
        <w:t>Tam klikamy Add:</w:t>
      </w:r>
      <w:r>
        <w:rPr>
          <w:lang w:val="en"/>
        </w:rPr>
        <w:br/>
      </w:r>
      <w:r>
        <w:rPr>
          <w:lang w:val="en"/>
        </w:rPr>
        <w:lastRenderedPageBreak/>
        <w:br/>
      </w:r>
      <w:r>
        <w:rPr>
          <w:noProof/>
        </w:rPr>
        <w:drawing>
          <wp:inline distT="0" distB="0" distL="0" distR="0" wp14:anchorId="70538F06" wp14:editId="5F108A64">
            <wp:extent cx="5760720" cy="309054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3" w:rsidRDefault="00641B63">
      <w:pPr>
        <w:rPr>
          <w:lang w:val="en"/>
        </w:rPr>
      </w:pPr>
    </w:p>
    <w:p w:rsidR="00641B63" w:rsidRDefault="00641B63">
      <w:pPr>
        <w:rPr>
          <w:lang w:val="en"/>
        </w:rPr>
      </w:pPr>
      <w:r>
        <w:rPr>
          <w:lang w:val="en"/>
        </w:rPr>
        <w:t>Tam w sekcji main wprowadzamy nazwę a w sekcji Entry wprowadzamy zakresy IP do blokowania :</w:t>
      </w:r>
    </w:p>
    <w:p w:rsidR="00641B63" w:rsidRDefault="00641B63">
      <w:pPr>
        <w:rPr>
          <w:lang w:val="en"/>
        </w:rPr>
      </w:pPr>
      <w:r>
        <w:rPr>
          <w:lang w:val="en"/>
        </w:rPr>
        <w:t xml:space="preserve">Dla przykładu: </w:t>
      </w:r>
    </w:p>
    <w:p w:rsidR="00641B63" w:rsidRDefault="00641B63">
      <w:r>
        <w:t xml:space="preserve">10.11.12.0/24 </w:t>
      </w:r>
      <w:r>
        <w:t>–</w:t>
      </w:r>
      <w:r>
        <w:t xml:space="preserve"> </w:t>
      </w:r>
      <w:r>
        <w:t>Dla wszystkich maszyn</w:t>
      </w:r>
      <w:r>
        <w:br/>
        <w:t xml:space="preserve">10.11.12.13/32 </w:t>
      </w:r>
      <w:r>
        <w:t>–</w:t>
      </w:r>
      <w:r>
        <w:t xml:space="preserve"> </w:t>
      </w:r>
      <w:r>
        <w:t xml:space="preserve">Celem zablokowania konkretnego </w:t>
      </w:r>
      <w:r>
        <w:t>IP.</w:t>
      </w:r>
    </w:p>
    <w:p w:rsidR="00641B63" w:rsidRDefault="00641B63"/>
    <w:p w:rsidR="00641B63" w:rsidRDefault="00641B63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30847FD" wp14:editId="0365881A">
            <wp:extent cx="5760720" cy="52666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3" w:rsidRDefault="00641B63">
      <w:pPr>
        <w:rPr>
          <w:lang w:val="en"/>
        </w:rPr>
      </w:pPr>
      <w:r>
        <w:rPr>
          <w:lang w:val="en"/>
        </w:rPr>
        <w:br/>
        <w:t>W ten sposób mamy opisany ACL , który następnie możemy wykorzystać podpinając go pod konkretn</w:t>
      </w:r>
      <w:r w:rsidR="00227DBB">
        <w:rPr>
          <w:lang w:val="en"/>
        </w:rPr>
        <w:t>y handler usługi DataPower.</w:t>
      </w:r>
      <w:r w:rsidR="00227DBB">
        <w:rPr>
          <w:lang w:val="en"/>
        </w:rPr>
        <w:br/>
      </w:r>
      <w:r w:rsidR="00227DBB">
        <w:rPr>
          <w:lang w:val="en"/>
        </w:rPr>
        <w:br/>
        <w:t>Aby tego dokonać musimy wejść do parametrów handlera, przejść do zakładki “Advanced” I tam w sekcji “Access Control List” w combobox wybrać wcześniej utworzyny ACL.</w:t>
      </w:r>
      <w:r w:rsidR="00227DBB">
        <w:rPr>
          <w:lang w:val="en"/>
        </w:rPr>
        <w:br/>
      </w:r>
      <w:r w:rsidR="00227DBB">
        <w:rPr>
          <w:lang w:val="en"/>
        </w:rPr>
        <w:br/>
        <w:t xml:space="preserve">Po akceptacji zmian </w:t>
      </w:r>
      <w:r w:rsidR="003E4910">
        <w:rPr>
          <w:lang w:val="en"/>
        </w:rPr>
        <w:t>przy wywołaniu usługi korzystającej z danego ACL będzie następowała weryfikacja wywołania I blokowanie wywołań zgodnie z definicją danego ACL</w:t>
      </w:r>
      <w:r w:rsidR="008C6D43">
        <w:rPr>
          <w:lang w:val="en"/>
        </w:rPr>
        <w:t>.</w:t>
      </w:r>
      <w:bookmarkStart w:id="0" w:name="_GoBack"/>
      <w:bookmarkEnd w:id="0"/>
    </w:p>
    <w:p w:rsidR="00641B63" w:rsidRDefault="00227DBB">
      <w:pPr>
        <w:rPr>
          <w:lang w:val="en"/>
        </w:rPr>
      </w:pPr>
      <w:r>
        <w:rPr>
          <w:lang w:val="en"/>
        </w:rPr>
        <w:lastRenderedPageBreak/>
        <w:br/>
      </w:r>
      <w:r>
        <w:rPr>
          <w:noProof/>
        </w:rPr>
        <w:drawing>
          <wp:inline distT="0" distB="0" distL="0" distR="0" wp14:anchorId="78945B1B" wp14:editId="5E902098">
            <wp:extent cx="5760720" cy="309054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63" w:rsidRDefault="00641B63"/>
    <w:p w:rsidR="00C75170" w:rsidRDefault="00C75170"/>
    <w:p w:rsidR="00C75349" w:rsidRDefault="00C75349">
      <w:r>
        <w:t>Proces tworzenia Web Service Proxy:</w:t>
      </w:r>
    </w:p>
    <w:p w:rsidR="00D6434B" w:rsidRDefault="00C75349" w:rsidP="00D6434B">
      <w:r>
        <w:t>Klikamy w menu „Control Panel”, a następnie „</w:t>
      </w:r>
      <w:r>
        <w:t>Web Service Proxy</w:t>
      </w:r>
      <w:r>
        <w:t>”</w:t>
      </w:r>
    </w:p>
    <w:p w:rsidR="005D5367" w:rsidRDefault="00C75349" w:rsidP="00D6434B">
      <w:r>
        <w:br/>
      </w:r>
      <w:r>
        <w:br/>
      </w:r>
      <w:r>
        <w:rPr>
          <w:noProof/>
        </w:rPr>
        <w:drawing>
          <wp:inline distT="0" distB="0" distL="0" distR="0" wp14:anchorId="1E8A67F0" wp14:editId="442E7437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49" w:rsidRDefault="00C75349" w:rsidP="00C75349"/>
    <w:p w:rsidR="00C75349" w:rsidRDefault="00F32C84" w:rsidP="00C75349">
      <w:r>
        <w:t>Klikamy w przycisk „Add”</w:t>
      </w:r>
    </w:p>
    <w:p w:rsidR="00F32C84" w:rsidRDefault="00F32C84" w:rsidP="00C75349">
      <w:r>
        <w:rPr>
          <w:noProof/>
        </w:rPr>
        <w:lastRenderedPageBreak/>
        <w:drawing>
          <wp:inline distT="0" distB="0" distL="0" distR="0" wp14:anchorId="7C39B2D4" wp14:editId="3300728C">
            <wp:extent cx="5760720" cy="30905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84" w:rsidRDefault="00F32C84" w:rsidP="00C75349"/>
    <w:p w:rsidR="00F32C84" w:rsidRDefault="00F32C84" w:rsidP="00C75349">
      <w:r>
        <w:t xml:space="preserve">Wprowadzamy nazwę i </w:t>
      </w:r>
      <w:r w:rsidR="0036687A">
        <w:t>klikamy przycisk „Create Web Service Proxy”</w:t>
      </w:r>
      <w:r w:rsidR="0036687A">
        <w:br/>
      </w:r>
      <w:r w:rsidR="0036687A">
        <w:br/>
      </w:r>
      <w:r w:rsidR="0036687A">
        <w:rPr>
          <w:noProof/>
        </w:rPr>
        <w:drawing>
          <wp:inline distT="0" distB="0" distL="0" distR="0" wp14:anchorId="28A880A8" wp14:editId="2D028E13">
            <wp:extent cx="5760720" cy="30905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47" w:rsidRDefault="00107047" w:rsidP="00C75349">
      <w:r>
        <w:t>W sekcji „WSDL File URL” wybieramy http:// a poniżej wprowadzamy adres wsdl usługi</w:t>
      </w:r>
    </w:p>
    <w:p w:rsidR="00D6434B" w:rsidRDefault="00107047" w:rsidP="00D6434B">
      <w:r>
        <w:t>W polu „</w:t>
      </w:r>
      <w:r w:rsidR="00B6101E">
        <w:t>Use Ws-Policy References</w:t>
      </w:r>
      <w:r>
        <w:t>”</w:t>
      </w:r>
      <w:r w:rsidR="00B6101E">
        <w:t xml:space="preserve"> radiobutton ustawiamy na off.</w:t>
      </w:r>
      <w:r w:rsidR="00B6101E">
        <w:br/>
      </w:r>
      <w:r w:rsidR="00D6434B">
        <w:t xml:space="preserve">Klikamy </w:t>
      </w:r>
      <w:r w:rsidR="00D6434B">
        <w:t>„N</w:t>
      </w:r>
      <w:r w:rsidR="00D6434B">
        <w:t>ext</w:t>
      </w:r>
      <w:r w:rsidR="00D6434B">
        <w:t>”</w:t>
      </w:r>
      <w:r w:rsidR="00D6434B">
        <w:t>.</w:t>
      </w:r>
    </w:p>
    <w:p w:rsidR="00F32C84" w:rsidRDefault="00B6101E" w:rsidP="00C75349">
      <w:r>
        <w:rPr>
          <w:noProof/>
        </w:rPr>
        <w:lastRenderedPageBreak/>
        <w:drawing>
          <wp:inline distT="0" distB="0" distL="0" distR="0" wp14:anchorId="2D4CF328" wp14:editId="0B15DD4C">
            <wp:extent cx="5760720" cy="309054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047">
        <w:t xml:space="preserve"> </w:t>
      </w:r>
    </w:p>
    <w:p w:rsidR="00D6434B" w:rsidRDefault="00D6434B" w:rsidP="00C75349"/>
    <w:p w:rsidR="001A6010" w:rsidRDefault="001A6010" w:rsidP="00C75349">
      <w:r>
        <w:t>Określamy na jakim porcie będziemy nasłuchiwać na usługę po stronie DP.</w:t>
      </w:r>
    </w:p>
    <w:p w:rsidR="001A6010" w:rsidRDefault="001A6010" w:rsidP="001A6010">
      <w:r>
        <w:t>Wybieramy „Local Endpoint Handler” jeśli istnieje.</w:t>
      </w:r>
      <w:r>
        <w:br/>
        <w:t>Jeśli nie klikamy przycisk „+” obok.</w:t>
      </w:r>
    </w:p>
    <w:p w:rsidR="001A6010" w:rsidRDefault="001A6010" w:rsidP="00C75349">
      <w:r>
        <w:br/>
      </w:r>
      <w:r>
        <w:br/>
      </w:r>
      <w:r>
        <w:rPr>
          <w:noProof/>
        </w:rPr>
        <w:drawing>
          <wp:inline distT="0" distB="0" distL="0" distR="0" wp14:anchorId="10B562AC" wp14:editId="5525EAD1">
            <wp:extent cx="5760720" cy="30905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10" w:rsidRDefault="001A6010" w:rsidP="00C75349"/>
    <w:p w:rsidR="001A6010" w:rsidRDefault="001A6010" w:rsidP="00C75349">
      <w:r>
        <w:lastRenderedPageBreak/>
        <w:t>Wybieramy HTTPSHandler</w:t>
      </w:r>
      <w:r>
        <w:br/>
      </w:r>
      <w:r>
        <w:br/>
      </w:r>
      <w:r>
        <w:rPr>
          <w:noProof/>
        </w:rPr>
        <w:drawing>
          <wp:inline distT="0" distB="0" distL="0" distR="0" wp14:anchorId="5F52EBA1" wp14:editId="1A0F6CBD">
            <wp:extent cx="5760720" cy="30905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C" w:rsidRDefault="00CA7D2C" w:rsidP="00C75349">
      <w:r>
        <w:br/>
        <w:t>Wprowadzamy nazwę handlera oraz port na jakim nastąpi nasłuchiwanie</w:t>
      </w:r>
      <w:r>
        <w:br/>
      </w:r>
      <w:r>
        <w:br/>
      </w:r>
      <w:r>
        <w:rPr>
          <w:noProof/>
        </w:rPr>
        <w:drawing>
          <wp:inline distT="0" distB="0" distL="0" distR="0" wp14:anchorId="7702068B" wp14:editId="774A7FAB">
            <wp:extent cx="5760720" cy="4507865"/>
            <wp:effectExtent l="0" t="0" r="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Wybieramy „SSL proxy profile” klikając „+” obok.</w:t>
      </w:r>
    </w:p>
    <w:p w:rsidR="00CA7D2C" w:rsidRDefault="00CA7D2C" w:rsidP="00C75349"/>
    <w:p w:rsidR="00CA7D2C" w:rsidRDefault="00CA7D2C" w:rsidP="00C75349">
      <w:r>
        <w:rPr>
          <w:noProof/>
        </w:rPr>
        <w:drawing>
          <wp:inline distT="0" distB="0" distL="0" distR="0" wp14:anchorId="6C102AD6" wp14:editId="061CB8BE">
            <wp:extent cx="5760720" cy="4507865"/>
            <wp:effectExtent l="0" t="0" r="0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Wybieramy nazwę oraz klikamy „+” obok „Reverse (Server) Crypto Profile”</w:t>
      </w:r>
    </w:p>
    <w:p w:rsidR="00CA7D2C" w:rsidRDefault="00CA7D2C" w:rsidP="00C75349"/>
    <w:p w:rsidR="001A6010" w:rsidRDefault="00CA7D2C" w:rsidP="00C75349"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2CAF0112" wp14:editId="5FD46BC5">
            <wp:extent cx="5760720" cy="387604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C" w:rsidRDefault="00CA7D2C" w:rsidP="00C75349"/>
    <w:p w:rsidR="00CA7D2C" w:rsidRDefault="00CA7D2C" w:rsidP="00C75349">
      <w:r>
        <w:t>Wprowadzamy nazwę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D3C4EB1" wp14:editId="66662C73">
            <wp:extent cx="5760720" cy="394779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Klikamy „+” obok „Identyfication Credentials” aby określić certyfikat jakim będziemy się przedstawiać.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208AEFC8" wp14:editId="2612E5EB">
            <wp:extent cx="5760720" cy="454215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C" w:rsidRDefault="00CA7D2C" w:rsidP="00C75349"/>
    <w:p w:rsidR="00CA7D2C" w:rsidRDefault="00CA7D2C" w:rsidP="00C75349"/>
    <w:p w:rsidR="000A50FF" w:rsidRDefault="00CA7D2C" w:rsidP="00C75349">
      <w:r>
        <w:t xml:space="preserve">Klikamy „+” obok „Crypto Key” aby wprowadzić </w:t>
      </w:r>
      <w:r w:rsidR="000A50FF">
        <w:t>klucz</w:t>
      </w:r>
      <w:r w:rsidR="000A50FF">
        <w:br/>
      </w:r>
      <w:r w:rsidR="000A50FF">
        <w:br/>
        <w:t>Wprowadzamy nazwę oraz klikamy „upload” aby załadować plik z kluczem</w:t>
      </w:r>
    </w:p>
    <w:p w:rsidR="00CA7D2C" w:rsidRDefault="000A50FF" w:rsidP="00C75349"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224EB1DE" wp14:editId="51724A2F">
            <wp:extent cx="5760720" cy="454215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FF" w:rsidRDefault="000A50FF" w:rsidP="00C75349"/>
    <w:p w:rsidR="000A50FF" w:rsidRDefault="000A50FF" w:rsidP="00C75349"/>
    <w:p w:rsidR="000A50FF" w:rsidRDefault="000A50FF" w:rsidP="00C75349"/>
    <w:p w:rsidR="000A50FF" w:rsidRDefault="000A50FF" w:rsidP="00C75349"/>
    <w:p w:rsidR="000A50FF" w:rsidRDefault="000A50FF" w:rsidP="00C75349">
      <w:r>
        <w:t>Wybieramy plik i klikamy „Upload”</w:t>
      </w:r>
    </w:p>
    <w:p w:rsidR="000A50FF" w:rsidRDefault="000A50FF" w:rsidP="00C75349">
      <w:r>
        <w:rPr>
          <w:noProof/>
        </w:rPr>
        <w:lastRenderedPageBreak/>
        <w:drawing>
          <wp:inline distT="0" distB="0" distL="0" distR="0" wp14:anchorId="5C643F47" wp14:editId="2E4C49A9">
            <wp:extent cx="5760720" cy="439229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Klikamy „Continue” i nazstępnie cofamy się klikając „Apply” na poziomie „</w:t>
      </w:r>
      <w:r>
        <w:rPr>
          <w:lang w:val="en"/>
        </w:rPr>
        <w:t>Configure Crypto Key</w:t>
      </w:r>
      <w:r>
        <w:t>”</w:t>
      </w:r>
      <w:r>
        <w:br/>
      </w:r>
      <w:r>
        <w:br/>
        <w:t>Będąc na poziomie „</w:t>
      </w:r>
      <w:r>
        <w:rPr>
          <w:lang w:val="en"/>
        </w:rPr>
        <w:t>Crypto Identification Credentials</w:t>
      </w:r>
      <w:r>
        <w:t>” analogicznie postępujemy wprowadzając certyfikat.</w:t>
      </w:r>
      <w:r>
        <w:br/>
      </w:r>
      <w:r>
        <w:br/>
        <w:t>Na poziomie „</w:t>
      </w:r>
      <w:r>
        <w:rPr>
          <w:lang w:val="en"/>
        </w:rPr>
        <w:t>Crypto Identification Credentials</w:t>
      </w:r>
      <w:r>
        <w:t>” klikamy „Apply”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07E4F5CF" wp14:editId="02632287">
            <wp:extent cx="5760720" cy="454215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FF" w:rsidRDefault="000A50FF" w:rsidP="00C75349"/>
    <w:p w:rsidR="000A50FF" w:rsidRDefault="000A50FF" w:rsidP="00C75349">
      <w:r>
        <w:lastRenderedPageBreak/>
        <w:t>Na poziomie „</w:t>
      </w:r>
      <w:r>
        <w:rPr>
          <w:lang w:val="en"/>
        </w:rPr>
        <w:t>Crypto Profile</w:t>
      </w:r>
      <w:r>
        <w:t>” klikamy „Apply”</w:t>
      </w:r>
      <w:r>
        <w:br/>
      </w:r>
      <w:r>
        <w:br/>
      </w:r>
      <w:r>
        <w:rPr>
          <w:noProof/>
        </w:rPr>
        <w:drawing>
          <wp:inline distT="0" distB="0" distL="0" distR="0" wp14:anchorId="778ED7C4" wp14:editId="5C5493FB">
            <wp:extent cx="5760720" cy="394779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FF" w:rsidRDefault="000A50FF" w:rsidP="00C75349"/>
    <w:p w:rsidR="000A50FF" w:rsidRDefault="000A50FF" w:rsidP="00C75349">
      <w:r>
        <w:lastRenderedPageBreak/>
        <w:t>Na poziomie „</w:t>
      </w:r>
      <w:r>
        <w:rPr>
          <w:lang w:val="en"/>
        </w:rPr>
        <w:t>SSL Proxy Profile</w:t>
      </w:r>
      <w:r>
        <w:t>” klikamy „Apply”</w:t>
      </w:r>
      <w:r>
        <w:br/>
      </w:r>
      <w:r>
        <w:br/>
      </w:r>
      <w:r>
        <w:rPr>
          <w:noProof/>
        </w:rPr>
        <w:drawing>
          <wp:inline distT="0" distB="0" distL="0" distR="0" wp14:anchorId="407E1AFD" wp14:editId="073EC7AA">
            <wp:extent cx="5760720" cy="387604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FF" w:rsidRDefault="000A50FF" w:rsidP="00C75349"/>
    <w:p w:rsidR="000A50FF" w:rsidRDefault="000A50FF" w:rsidP="00C75349">
      <w:r>
        <w:t>Na poziomie „</w:t>
      </w:r>
      <w:r>
        <w:rPr>
          <w:lang w:val="en"/>
        </w:rPr>
        <w:t>HTTPS Handler</w:t>
      </w:r>
      <w:r>
        <w:t>” klikamy „Apply”</w:t>
      </w:r>
    </w:p>
    <w:p w:rsidR="000A50FF" w:rsidRDefault="000A50FF" w:rsidP="00C75349"/>
    <w:p w:rsidR="000A50FF" w:rsidRDefault="000A50FF" w:rsidP="00C75349"/>
    <w:p w:rsidR="000A50FF" w:rsidRDefault="000A50FF" w:rsidP="00C75349">
      <w:r>
        <w:rPr>
          <w:noProof/>
        </w:rPr>
        <w:lastRenderedPageBreak/>
        <w:drawing>
          <wp:inline distT="0" distB="0" distL="0" distR="0" wp14:anchorId="03BCF824" wp14:editId="5BDFDCBB">
            <wp:extent cx="5760720" cy="4507865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FF" w:rsidRDefault="000A50FF" w:rsidP="00C75349"/>
    <w:p w:rsidR="000A50FF" w:rsidRDefault="000A50FF" w:rsidP="00C75349"/>
    <w:p w:rsidR="000A50FF" w:rsidRDefault="000A50FF" w:rsidP="00C75349">
      <w:r>
        <w:t>Po powrocie na poziom „</w:t>
      </w:r>
      <w:r w:rsidRPr="000A50FF">
        <w:t>Configure Web Service Proxy</w:t>
      </w:r>
      <w:r>
        <w:t xml:space="preserve">” klikamy </w:t>
      </w:r>
      <w:r w:rsidR="00CF57AE">
        <w:t xml:space="preserve">„+” w kolumnie „Edit / Remove” na poziomie utworzonego handlera oraz następnie </w:t>
      </w:r>
      <w:r>
        <w:t>przycisk „Next”</w:t>
      </w:r>
    </w:p>
    <w:p w:rsidR="00CF57AE" w:rsidRDefault="00CF57AE" w:rsidP="00C75349"/>
    <w:p w:rsidR="00CF57AE" w:rsidRDefault="00CF57AE" w:rsidP="00C75349">
      <w:r>
        <w:rPr>
          <w:noProof/>
        </w:rPr>
        <w:lastRenderedPageBreak/>
        <w:drawing>
          <wp:inline distT="0" distB="0" distL="0" distR="0" wp14:anchorId="1D6EE19C" wp14:editId="79544614">
            <wp:extent cx="5760720" cy="309054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AE" w:rsidRDefault="00CF57AE" w:rsidP="00C75349"/>
    <w:p w:rsidR="00CF57AE" w:rsidRDefault="00CF57AE" w:rsidP="00C75349">
      <w:r>
        <w:t>Nastąpiło utworzenie obiektu</w:t>
      </w:r>
      <w:r>
        <w:br/>
      </w:r>
      <w:r>
        <w:br/>
      </w:r>
      <w:r>
        <w:rPr>
          <w:noProof/>
        </w:rPr>
        <w:drawing>
          <wp:inline distT="0" distB="0" distL="0" distR="0" wp14:anchorId="48BF4EC7" wp14:editId="1A8A114B">
            <wp:extent cx="5760720" cy="309054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454">
        <w:br/>
      </w:r>
      <w:r w:rsidR="00C57454">
        <w:br/>
        <w:t>Na końcu klikamy „Apply” aby zakończyć proces tworzenia WS Gatewaya</w:t>
      </w:r>
    </w:p>
    <w:p w:rsidR="00CF57AE" w:rsidRDefault="00CF57AE" w:rsidP="00C75349"/>
    <w:p w:rsidR="00CF57AE" w:rsidRDefault="00CF57AE" w:rsidP="00C75349"/>
    <w:sectPr w:rsidR="00CF5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655AE1"/>
    <w:multiLevelType w:val="hybridMultilevel"/>
    <w:tmpl w:val="3C3414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6F"/>
    <w:rsid w:val="000A50FF"/>
    <w:rsid w:val="00107047"/>
    <w:rsid w:val="001A6010"/>
    <w:rsid w:val="001D046F"/>
    <w:rsid w:val="00227DBB"/>
    <w:rsid w:val="0036687A"/>
    <w:rsid w:val="003E4910"/>
    <w:rsid w:val="00566EA5"/>
    <w:rsid w:val="005D5367"/>
    <w:rsid w:val="00641B63"/>
    <w:rsid w:val="008C6D43"/>
    <w:rsid w:val="00B6101E"/>
    <w:rsid w:val="00C57454"/>
    <w:rsid w:val="00C75170"/>
    <w:rsid w:val="00C75349"/>
    <w:rsid w:val="00CA7D2C"/>
    <w:rsid w:val="00CC2E05"/>
    <w:rsid w:val="00CF57AE"/>
    <w:rsid w:val="00D6434B"/>
    <w:rsid w:val="00E0600F"/>
    <w:rsid w:val="00F3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52FCE"/>
  <w15:chartTrackingRefBased/>
  <w15:docId w15:val="{FEB96D91-7165-4418-AF55-1CE784EA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75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BE39C-8AE7-4461-B4BB-024089593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453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Kasiński</dc:creator>
  <cp:keywords/>
  <dc:description/>
  <cp:lastModifiedBy>Marcin Kasiński</cp:lastModifiedBy>
  <cp:revision>15</cp:revision>
  <dcterms:created xsi:type="dcterms:W3CDTF">2019-08-26T07:12:00Z</dcterms:created>
  <dcterms:modified xsi:type="dcterms:W3CDTF">2019-08-26T12:58:00Z</dcterms:modified>
</cp:coreProperties>
</file>