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CDD" w:rsidRPr="00A747E3" w:rsidRDefault="00D26CDD" w:rsidP="00A747E3">
      <w:pPr>
        <w:pStyle w:val="Akapitzlist"/>
        <w:numPr>
          <w:ilvl w:val="0"/>
          <w:numId w:val="1"/>
        </w:numPr>
        <w:spacing w:before="240" w:after="240"/>
        <w:ind w:left="714" w:hanging="357"/>
        <w:jc w:val="both"/>
        <w:rPr>
          <w:b/>
        </w:rPr>
      </w:pPr>
      <w:r w:rsidRPr="00A747E3">
        <w:rPr>
          <w:b/>
        </w:rPr>
        <w:t>Włączanie</w:t>
      </w:r>
    </w:p>
    <w:p w:rsidR="00B62F0F" w:rsidRDefault="00B62F0F" w:rsidP="00A747E3">
      <w:pPr>
        <w:pStyle w:val="Akapitzlist"/>
        <w:spacing w:before="240" w:after="240"/>
        <w:ind w:left="714"/>
        <w:jc w:val="both"/>
      </w:pPr>
      <w:r>
        <w:t>Na chwilę obecną urządzenie należy zasilać z portu USB komputera.</w:t>
      </w:r>
    </w:p>
    <w:p w:rsidR="00B62F0F" w:rsidRDefault="00B62F0F" w:rsidP="00A747E3">
      <w:pPr>
        <w:pStyle w:val="Akapitzlist"/>
        <w:spacing w:before="240" w:after="240"/>
        <w:ind w:left="714"/>
        <w:jc w:val="both"/>
      </w:pPr>
      <w:r>
        <w:t>Docelowo będzie zasilacz stabilizowany, albo zasilanie bateryjne.</w:t>
      </w:r>
    </w:p>
    <w:p w:rsidR="00B62F0F" w:rsidRPr="00B62F0F" w:rsidRDefault="00B62F0F" w:rsidP="00A747E3">
      <w:pPr>
        <w:pStyle w:val="Akapitzlist"/>
        <w:spacing w:before="240" w:after="240"/>
        <w:ind w:left="714"/>
        <w:jc w:val="both"/>
        <w:rPr>
          <w:i/>
        </w:rPr>
      </w:pPr>
      <w:r w:rsidRPr="00B62F0F">
        <w:rPr>
          <w:i/>
        </w:rPr>
        <w:t>UWAGA: Nie podłączać do telefonicznych ładowarek wtyczkowych! Urządzenie będzie działać, ale wskazania będą silnie zafałszowane ze wzgl. na kiepską jakość większości ładowarek impulsowych.</w:t>
      </w:r>
    </w:p>
    <w:p w:rsidR="00D26CDD" w:rsidRPr="00A747E3" w:rsidRDefault="00D26CDD" w:rsidP="00A747E3">
      <w:pPr>
        <w:pStyle w:val="Akapitzlist"/>
        <w:numPr>
          <w:ilvl w:val="0"/>
          <w:numId w:val="1"/>
        </w:numPr>
        <w:spacing w:before="240" w:after="240"/>
        <w:ind w:left="714" w:hanging="357"/>
        <w:jc w:val="both"/>
        <w:rPr>
          <w:b/>
        </w:rPr>
      </w:pPr>
      <w:proofErr w:type="spellStart"/>
      <w:r w:rsidRPr="00A747E3">
        <w:rPr>
          <w:b/>
        </w:rPr>
        <w:t>Autokalibracja</w:t>
      </w:r>
      <w:proofErr w:type="spellEnd"/>
    </w:p>
    <w:p w:rsidR="00A747E3" w:rsidRDefault="00A747E3" w:rsidP="00A747E3">
      <w:pPr>
        <w:pStyle w:val="Akapitzlist"/>
        <w:spacing w:before="240" w:after="240"/>
        <w:ind w:left="714"/>
        <w:jc w:val="both"/>
      </w:pPr>
      <w:r>
        <w:t xml:space="preserve">Po włączeniu urządzenie </w:t>
      </w:r>
      <w:proofErr w:type="spellStart"/>
      <w:r>
        <w:t>autokalibruje</w:t>
      </w:r>
      <w:proofErr w:type="spellEnd"/>
      <w:r>
        <w:t xml:space="preserve"> głowicę pomiarową. </w:t>
      </w:r>
      <w:r w:rsidRPr="00A747E3">
        <w:rPr>
          <w:u w:val="single"/>
        </w:rPr>
        <w:t>Szczelina powinna być pusta</w:t>
      </w:r>
      <w:r>
        <w:t>.</w:t>
      </w:r>
      <w:r w:rsidR="00143210">
        <w:t xml:space="preserve"> Nie ma konieczności szczególnego osłaniania głowicy przed światłem zewnętrznym, lecz nie zaleca się też bezpośredniego nasłonecznienia </w:t>
      </w:r>
      <w:r w:rsidR="00143210" w:rsidRPr="00143210">
        <w:rPr>
          <w:i/>
        </w:rPr>
        <w:t>(nie było to testowane)</w:t>
      </w:r>
      <w:r w:rsidR="00143210">
        <w:t>.</w:t>
      </w:r>
    </w:p>
    <w:p w:rsidR="00D26CDD" w:rsidRPr="00A747E3" w:rsidRDefault="00D26CDD" w:rsidP="00A747E3">
      <w:pPr>
        <w:pStyle w:val="Akapitzlist"/>
        <w:numPr>
          <w:ilvl w:val="0"/>
          <w:numId w:val="1"/>
        </w:numPr>
        <w:spacing w:before="240" w:after="240"/>
        <w:ind w:left="714" w:hanging="357"/>
        <w:jc w:val="both"/>
        <w:rPr>
          <w:b/>
        </w:rPr>
      </w:pPr>
      <w:r w:rsidRPr="00A747E3">
        <w:rPr>
          <w:b/>
        </w:rPr>
        <w:t>Nastawa progu</w:t>
      </w:r>
    </w:p>
    <w:p w:rsidR="00A747E3" w:rsidRDefault="00A747E3" w:rsidP="00A747E3">
      <w:pPr>
        <w:pStyle w:val="Akapitzlist"/>
        <w:spacing w:before="240" w:after="240"/>
        <w:ind w:left="714"/>
        <w:jc w:val="both"/>
      </w:pPr>
      <w:r>
        <w:t>Do regulacji progu pomiarowego służy potencjometr na bocznej ściance. Na chwilę obecną zakres regulacji</w:t>
      </w:r>
    </w:p>
    <w:p w:rsidR="00A747E3" w:rsidRDefault="00A747E3" w:rsidP="00A747E3">
      <w:pPr>
        <w:pStyle w:val="Akapitzlist"/>
        <w:spacing w:before="240" w:after="240"/>
        <w:ind w:left="714"/>
        <w:jc w:val="both"/>
      </w:pPr>
      <w:r>
        <w:t>0-1023. Podczas wstępnych testów na próbka osłonki dobrano próg 190. Próbki poniżej uznane jako złe, powyżej jako dobre.</w:t>
      </w:r>
    </w:p>
    <w:p w:rsidR="00143210" w:rsidRDefault="00143210" w:rsidP="00A747E3">
      <w:pPr>
        <w:pStyle w:val="Akapitzlist"/>
        <w:spacing w:before="240" w:after="240"/>
        <w:ind w:left="714"/>
        <w:jc w:val="both"/>
      </w:pPr>
      <w:r>
        <w:t>Jeśli zajdzie potrzeba poprawki, należy odczytać wskazanie na próbce uznawanej jako dobra i nastawić próg o 1-2 pkt niższy.</w:t>
      </w:r>
    </w:p>
    <w:p w:rsidR="00D26CDD" w:rsidRDefault="00D26CDD" w:rsidP="00A747E3">
      <w:pPr>
        <w:pStyle w:val="Akapitzlist"/>
        <w:numPr>
          <w:ilvl w:val="0"/>
          <w:numId w:val="1"/>
        </w:numPr>
        <w:spacing w:before="240" w:after="240"/>
        <w:ind w:left="714" w:hanging="357"/>
        <w:jc w:val="both"/>
        <w:rPr>
          <w:b/>
        </w:rPr>
      </w:pPr>
      <w:r w:rsidRPr="00A747E3">
        <w:rPr>
          <w:b/>
        </w:rPr>
        <w:t>Test osłonki</w:t>
      </w:r>
    </w:p>
    <w:p w:rsidR="00A747E3" w:rsidRDefault="00A747E3" w:rsidP="00A747E3">
      <w:pPr>
        <w:pStyle w:val="Akapitzlist"/>
        <w:spacing w:before="240" w:after="240"/>
        <w:ind w:left="714"/>
        <w:jc w:val="both"/>
      </w:pPr>
      <w:r w:rsidRPr="00A747E3">
        <w:t>Urządzenie</w:t>
      </w:r>
      <w:r>
        <w:t xml:space="preserve"> testuje przezroczystość w trybie ciągłym. Jeden „błysk” głowicy to 100 pomiarów – wynik na wyświetlaczu („Odczyt:”) jest ich średnią arytmetyczną. Możliwe, a nawet wskazane, jest poruszanie testowaną próbką. Pozwoli to na wykrycie niejednorodności barwienia – czy nie mają miejsca prześwity poniżej progu.</w:t>
      </w:r>
    </w:p>
    <w:p w:rsidR="00143210" w:rsidRDefault="00A747E3" w:rsidP="00A747E3">
      <w:pPr>
        <w:pStyle w:val="Akapitzlist"/>
        <w:spacing w:before="240" w:after="240"/>
        <w:ind w:left="714"/>
        <w:jc w:val="both"/>
      </w:pPr>
      <w:r>
        <w:t>Test zakończony pomyślnie (wartość powyżej progu) jest sygnalizowany ZIELONĄ diodą LED.</w:t>
      </w:r>
    </w:p>
    <w:p w:rsidR="00A747E3" w:rsidRDefault="00143210" w:rsidP="00A747E3">
      <w:pPr>
        <w:pStyle w:val="Akapitzlist"/>
        <w:spacing w:before="240" w:after="240"/>
        <w:ind w:left="714"/>
        <w:jc w:val="both"/>
      </w:pPr>
      <w:r>
        <w:t xml:space="preserve">Wartość poniżej progu </w:t>
      </w:r>
      <w:r w:rsidRPr="00143210">
        <w:rPr>
          <w:i/>
        </w:rPr>
        <w:t>(w szczególności gdy szczelina jest w ogóle pusta)</w:t>
      </w:r>
      <w:r>
        <w:t xml:space="preserve"> sygnalizuje kolor CZERWONY.</w:t>
      </w:r>
    </w:p>
    <w:p w:rsidR="00143210" w:rsidRPr="00A747E3" w:rsidRDefault="00143210" w:rsidP="00A747E3">
      <w:pPr>
        <w:pStyle w:val="Akapitzlist"/>
        <w:spacing w:before="240" w:after="240"/>
        <w:ind w:left="714"/>
        <w:jc w:val="both"/>
      </w:pPr>
    </w:p>
    <w:p w:rsidR="00D26CDD" w:rsidRDefault="00D26CDD" w:rsidP="00A747E3">
      <w:pPr>
        <w:pStyle w:val="Akapitzlist"/>
        <w:jc w:val="both"/>
      </w:pPr>
    </w:p>
    <w:sectPr w:rsidR="00D26CDD" w:rsidSect="00D26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E6A" w:rsidRDefault="00012E6A" w:rsidP="00D26CDD">
      <w:pPr>
        <w:spacing w:after="0" w:line="240" w:lineRule="auto"/>
      </w:pPr>
      <w:r>
        <w:separator/>
      </w:r>
    </w:p>
  </w:endnote>
  <w:endnote w:type="continuationSeparator" w:id="0">
    <w:p w:rsidR="00012E6A" w:rsidRDefault="00012E6A" w:rsidP="00D2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DF9" w:rsidRDefault="007E0DF9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210" w:rsidRPr="001F1C36" w:rsidRDefault="00143210">
    <w:pPr>
      <w:pStyle w:val="Stopka"/>
      <w:rPr>
        <w:u w:val="single"/>
      </w:rPr>
    </w:pPr>
    <w:r w:rsidRPr="001F1C36">
      <w:rPr>
        <w:u w:val="single"/>
      </w:rPr>
      <w:t>PS: Proszę o uwagi dot. dalszych prac nad urządzeniem:</w:t>
    </w:r>
  </w:p>
  <w:p w:rsidR="00143210" w:rsidRDefault="001F1C36" w:rsidP="001F1C36">
    <w:pPr>
      <w:pStyle w:val="Stopka"/>
      <w:numPr>
        <w:ilvl w:val="0"/>
        <w:numId w:val="2"/>
      </w:numPr>
    </w:pPr>
    <w:r>
      <w:t>czy</w:t>
    </w:r>
    <w:r w:rsidR="00143210">
      <w:t xml:space="preserve"> są sensowne - tzn. czy to się w ogóle przyda i spełni w stopniu </w:t>
    </w:r>
    <w:r w:rsidR="00143210">
      <w:t xml:space="preserve">wystarczającym wymagania </w:t>
    </w:r>
    <w:r w:rsidR="00143210">
      <w:t>kontroli jakości</w:t>
    </w:r>
    <w:r>
      <w:t>?</w:t>
    </w:r>
  </w:p>
  <w:p w:rsidR="00143210" w:rsidRDefault="00143210" w:rsidP="001F1C36">
    <w:pPr>
      <w:pStyle w:val="Stopka"/>
      <w:numPr>
        <w:ilvl w:val="0"/>
        <w:numId w:val="2"/>
      </w:numPr>
    </w:pPr>
    <w:r>
      <w:t>czy docelowo to ma być przyrząd stacjonarny, czy przenośny</w:t>
    </w:r>
    <w:r w:rsidR="001F1C36">
      <w:t>?</w:t>
    </w:r>
  </w:p>
  <w:p w:rsidR="001F1C36" w:rsidRDefault="001F1C36" w:rsidP="001F1C36">
    <w:pPr>
      <w:pStyle w:val="Stopka"/>
      <w:numPr>
        <w:ilvl w:val="0"/>
        <w:numId w:val="2"/>
      </w:numPr>
    </w:pPr>
    <w:r>
      <w:t>czy wystarczy</w:t>
    </w:r>
    <w:r>
      <w:t xml:space="preserve"> taka skala czułości, czy musi być poszerzona (jak i o ile)?</w:t>
    </w:r>
  </w:p>
  <w:p w:rsidR="001F1C36" w:rsidRDefault="001F1C36" w:rsidP="001F1C36">
    <w:pPr>
      <w:pStyle w:val="Stopka"/>
      <w:numPr>
        <w:ilvl w:val="0"/>
        <w:numId w:val="2"/>
      </w:numPr>
    </w:pPr>
    <w:r>
      <w:t>czy jest potrzebna kalibracja w skali „D”?</w:t>
    </w:r>
  </w:p>
  <w:p w:rsidR="007E0DF9" w:rsidRDefault="007E0DF9" w:rsidP="007E0DF9">
    <w:pPr>
      <w:pStyle w:val="Stopka"/>
    </w:pPr>
  </w:p>
  <w:p w:rsidR="007E0DF9" w:rsidRDefault="007E0DF9" w:rsidP="007E0DF9">
    <w:pPr>
      <w:pStyle w:val="Stopka"/>
    </w:pPr>
  </w:p>
  <w:p w:rsidR="007E0DF9" w:rsidRDefault="007E0DF9" w:rsidP="007E0DF9">
    <w:pPr>
      <w:pStyle w:val="Stopka"/>
    </w:pPr>
    <w:r>
      <w:t xml:space="preserve">Uwagi chętnie na emaila: </w:t>
    </w:r>
    <w:hyperlink r:id="rId1" w:history="1">
      <w:r w:rsidRPr="002549EB">
        <w:rPr>
          <w:rStyle w:val="Hipercze"/>
        </w:rPr>
        <w:t>m.rzechonek@fcase.pl</w:t>
      </w:r>
    </w:hyperlink>
  </w:p>
  <w:p w:rsidR="007E0DF9" w:rsidRDefault="007E0DF9" w:rsidP="007E0DF9">
    <w:pPr>
      <w:pStyle w:val="Stopka"/>
    </w:pPr>
  </w:p>
  <w:p w:rsidR="007E0DF9" w:rsidRDefault="007E0DF9" w:rsidP="007E0DF9">
    <w:pPr>
      <w:pStyle w:val="Stopk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DF9" w:rsidRDefault="007E0DF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E6A" w:rsidRDefault="00012E6A" w:rsidP="00D26CDD">
      <w:pPr>
        <w:spacing w:after="0" w:line="240" w:lineRule="auto"/>
      </w:pPr>
      <w:r>
        <w:separator/>
      </w:r>
    </w:p>
  </w:footnote>
  <w:footnote w:type="continuationSeparator" w:id="0">
    <w:p w:rsidR="00012E6A" w:rsidRDefault="00012E6A" w:rsidP="00D26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DF9" w:rsidRDefault="007E0DF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CDD" w:rsidRPr="00D26CDD" w:rsidRDefault="00D26CDD">
    <w:pPr>
      <w:pStyle w:val="Nagwek"/>
      <w:rPr>
        <w:i/>
      </w:rPr>
    </w:pPr>
    <w:r>
      <w:tab/>
    </w:r>
    <w:r w:rsidRPr="00D26CDD">
      <w:rPr>
        <w:i/>
      </w:rPr>
      <w:t>Instrukcja obsługi testera przezroczystości</w:t>
    </w:r>
    <w:r w:rsidR="00B62F0F">
      <w:rPr>
        <w:i/>
      </w:rPr>
      <w:t xml:space="preserve"> osłonki</w:t>
    </w:r>
    <w:r w:rsidRPr="00D26CDD">
      <w:rPr>
        <w:i/>
      </w:rPr>
      <w:t xml:space="preserve"> – </w:t>
    </w:r>
    <w:r w:rsidRPr="00D26CDD">
      <w:rPr>
        <w:b/>
        <w:i/>
      </w:rPr>
      <w:t>SZKIC</w:t>
    </w:r>
    <w:r>
      <w:tab/>
    </w:r>
    <w:r w:rsidRPr="00D26CDD">
      <w:rPr>
        <w:rFonts w:eastAsiaTheme="majorEastAsia" w:cstheme="minorHAnsi"/>
        <w:i/>
      </w:rPr>
      <w:t xml:space="preserve">str. </w:t>
    </w:r>
    <w:r w:rsidRPr="00D26CDD">
      <w:rPr>
        <w:rFonts w:eastAsiaTheme="minorEastAsia" w:cstheme="minorHAnsi"/>
        <w:i/>
      </w:rPr>
      <w:fldChar w:fldCharType="begin"/>
    </w:r>
    <w:r w:rsidRPr="00D26CDD">
      <w:rPr>
        <w:rFonts w:cstheme="minorHAnsi"/>
        <w:i/>
      </w:rPr>
      <w:instrText>PAGE    \* MERGEFORMAT</w:instrText>
    </w:r>
    <w:r w:rsidRPr="00D26CDD">
      <w:rPr>
        <w:rFonts w:eastAsiaTheme="minorEastAsia" w:cstheme="minorHAnsi"/>
        <w:i/>
      </w:rPr>
      <w:fldChar w:fldCharType="separate"/>
    </w:r>
    <w:r w:rsidR="007E0DF9" w:rsidRPr="007E0DF9">
      <w:rPr>
        <w:rFonts w:eastAsiaTheme="majorEastAsia" w:cstheme="minorHAnsi"/>
        <w:i/>
        <w:noProof/>
      </w:rPr>
      <w:t>1</w:t>
    </w:r>
    <w:r w:rsidRPr="00D26CDD">
      <w:rPr>
        <w:rFonts w:eastAsiaTheme="majorEastAsia" w:cstheme="minorHAnsi"/>
        <w:i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DF9" w:rsidRDefault="007E0DF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C7FD1"/>
    <w:multiLevelType w:val="hybridMultilevel"/>
    <w:tmpl w:val="561495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B442F"/>
    <w:multiLevelType w:val="hybridMultilevel"/>
    <w:tmpl w:val="1A6044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DD"/>
    <w:rsid w:val="00012E6A"/>
    <w:rsid w:val="00143210"/>
    <w:rsid w:val="001F1C36"/>
    <w:rsid w:val="002257B0"/>
    <w:rsid w:val="007E0DF9"/>
    <w:rsid w:val="00A747E3"/>
    <w:rsid w:val="00B62F0F"/>
    <w:rsid w:val="00D2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DA968A-9126-40DE-8B16-829DACF5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26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26CDD"/>
  </w:style>
  <w:style w:type="paragraph" w:styleId="Stopka">
    <w:name w:val="footer"/>
    <w:basedOn w:val="Normalny"/>
    <w:link w:val="StopkaZnak"/>
    <w:uiPriority w:val="99"/>
    <w:unhideWhenUsed/>
    <w:rsid w:val="00D26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26CDD"/>
  </w:style>
  <w:style w:type="paragraph" w:styleId="Akapitzlist">
    <w:name w:val="List Paragraph"/>
    <w:basedOn w:val="Normalny"/>
    <w:uiPriority w:val="34"/>
    <w:qFormat/>
    <w:rsid w:val="00D26CD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0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.rzechonek@fcase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02765-006C-4579-9107-A3DE8A45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Rzechonek</dc:creator>
  <cp:keywords/>
  <dc:description/>
  <cp:lastModifiedBy>Marcin Rzechonek</cp:lastModifiedBy>
  <cp:revision>3</cp:revision>
  <dcterms:created xsi:type="dcterms:W3CDTF">2025-07-23T12:41:00Z</dcterms:created>
  <dcterms:modified xsi:type="dcterms:W3CDTF">2025-07-23T13:17:00Z</dcterms:modified>
</cp:coreProperties>
</file>