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SQL Server FCI i Windows Server Failover Cluster – Anatomia współpracy</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26" style="width:0.00pt;height:1.50pt" o:hr="t" o:hrpct="1000" o:hralign="center" o:hrstd="t" fillcolor="#a0a0a0" stroked="f"/>
        </w:pict>
      </w:r>
      <w:r/>
      <w:r>
        <w:rPr>
          <w:rFonts w:ascii="Google Sans Text" w:hAnsi="Google Sans Text" w:eastAsia="Google Sans Text" w:cs="Google Sans Text"/>
          <w:color w:val="1b1c1d"/>
        </w:rPr>
      </w:r>
    </w:p>
    <w:p>
      <w:pPr>
        <w:pStyle w:val="para1"/>
      </w:pPr>
      <w:r>
        <w:t>1. Architektura WSFC i SQL Server FCI</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Windows Server Failover Cluster (WSFC) to warstwa systemowa odpowiedzialna za wysoką dostępność. SQL Server FCI (Failover Cluster Instance) jest aplikacyjnym zasobem klastra, który wykorzystuje WSFC do monitorowania i przenoszenia instancji między węzłami.</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Kluczowe jest tu pojęcie współdzielonej pamięci masowej (Shared Storage) – dyski (np. z macierzy SAN) są podłączone do wszystkich węzłów, ale tylko jeden węzeł w danym momencie może być ich właścicielem i na nich zapisywać. To jest serce FCI.</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color w:val="1b1c1d"/>
        </w:rPr>
        <w:t xml:space="preserve">W klastrze 2-węzłowym każdy node ma zainstalowaną instancję SQL Server Enterprise, ale działa tylko jeden naraz. Zasoby (wirtualny adres IP, nazwa sieciowa i dyski współdzielone) są przenoszone automatycznie w przypadku awarii. </w:t>
      </w:r>
      <w:r>
        <w:rPr>
          <w:rFonts w:ascii="Google Sans Text" w:hAnsi="Google Sans Text" w:eastAsia="Google Sans Text" w:cs="Google Sans Text"/>
          <w:b/>
          <w:color w:val="1b1c1d"/>
        </w:rPr>
        <w:t>WSFC wykorzystuje też zazwyczaj dedykowaną sieć prywatną "heartbeat" do stałego monitorowania stanu węzłów, co jest oddzielone od sieci klienckiej.</w:t>
      </w:r>
      <w:r>
        <w:rPr>
          <w:rFonts w:ascii="Google Sans Text" w:hAnsi="Google Sans Text" w:eastAsia="Google Sans Text" w:cs="Google Sans Text"/>
          <w:b/>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„Failover Cluster to nie magia. To tylko dobrze zorganizowana panika – tyle że zaplanowana wcześniej.”</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27" style="width:0.00pt;height:1.50pt" o:hr="t" o:hrpct="1000" o:hralign="center" o:hrstd="t" fillcolor="#a0a0a0" stroked="f"/>
        </w:pict>
      </w:r>
      <w:r/>
      <w:r>
        <w:rPr>
          <w:rFonts w:ascii="Google Sans Text" w:hAnsi="Google Sans Text" w:eastAsia="Google Sans Text" w:cs="Google Sans Text"/>
          <w:color w:val="1b1c1d"/>
        </w:rPr>
      </w:r>
    </w:p>
    <w:p>
      <w:pPr>
        <w:pStyle w:val="para1"/>
      </w:pPr>
      <w:r>
        <w:t>2. Punkt Dostępowy Klienta: Virtual Network Name (VNN) i IP (VIP)</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 xml:space="preserve">Klaster FCI jest bezużyteczny, jeśli aplikacje nie wiedzą, jak się z nim połączyć. Kluczową koncepcją jest to, że aplikacje </w:t>
      </w:r>
      <w:r>
        <w:rPr>
          <w:rFonts w:ascii="Google Sans Text" w:hAnsi="Google Sans Text" w:eastAsia="Google Sans Text" w:cs="Google Sans Text"/>
          <w:b/>
          <w:color w:val="1b1c1d"/>
        </w:rPr>
        <w:t>nigdy</w:t>
      </w:r>
      <w:r>
        <w:rPr>
          <w:rFonts w:ascii="Google Sans Text" w:hAnsi="Google Sans Text" w:eastAsia="Google Sans Text" w:cs="Google Sans Text"/>
          <w:color w:val="1b1c1d"/>
        </w:rPr>
        <w:t xml:space="preserve"> nie łączą się bezpośrednio z fizycznymi nazwami serwerów (np. Node-A czy Node-B).</w:t>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 xml:space="preserve">Zamiast tego, łączą się one </w:t>
      </w:r>
      <w:r>
        <w:rPr>
          <w:rFonts w:ascii="Google Sans Text" w:hAnsi="Google Sans Text" w:eastAsia="Google Sans Text" w:cs="Google Sans Text"/>
          <w:b/>
          <w:color w:val="1b1c1d"/>
        </w:rPr>
        <w:t>wyłącznie</w:t>
      </w:r>
      <w:r>
        <w:rPr>
          <w:rFonts w:ascii="Google Sans Text" w:hAnsi="Google Sans Text" w:eastAsia="Google Sans Text" w:cs="Google Sans Text"/>
          <w:color w:val="1b1c1d"/>
        </w:rPr>
        <w:t xml:space="preserve"> z zasobem klastra zwanym </w:t>
      </w:r>
      <w:r>
        <w:rPr>
          <w:rFonts w:ascii="Google Sans Text" w:hAnsi="Google Sans Text" w:eastAsia="Google Sans Text" w:cs="Google Sans Text"/>
          <w:b/>
          <w:color w:val="1b1c1d"/>
        </w:rPr>
        <w:t>Virtual Network Name (VNN)</w:t>
      </w:r>
      <w:r>
        <w:rPr>
          <w:rFonts w:ascii="Google Sans Text" w:hAnsi="Google Sans Text" w:eastAsia="Google Sans Text" w:cs="Google Sans Text"/>
          <w:color w:val="1b1c1d"/>
        </w:rPr>
        <w:t>, czyli Wirtualną Nazwą Sieciową (w Twoim przykładzie PowerShell jest to SQLPROD).</w:t>
      </w:r>
    </w:p>
    <w:p>
      <w:pPr>
        <w:numPr>
          <w:ilvl w:val="0"/>
          <w:numId w:val="3"/>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Ta nazwa (VNN) jest powiązana z innym zasobem – </w:t>
      </w:r>
      <w:r>
        <w:rPr>
          <w:rFonts w:ascii="Google Sans Text" w:hAnsi="Google Sans Text" w:eastAsia="Google Sans Text" w:cs="Google Sans Text"/>
          <w:b/>
          <w:color w:val="1b1c1d"/>
        </w:rPr>
        <w:t>Wirtualnym Adresem IP (VIP)</w:t>
      </w:r>
      <w:r>
        <w:rPr>
          <w:rFonts w:ascii="Google Sans Text" w:hAnsi="Google Sans Text" w:eastAsia="Google Sans Text" w:cs="Google Sans Text"/>
          <w:color w:val="1b1c1d"/>
        </w:rPr>
        <w:t>.</w:t>
      </w:r>
      <w:r/>
    </w:p>
    <w:p>
      <w:pPr>
        <w:numPr>
          <w:ilvl w:val="0"/>
          <w:numId w:val="3"/>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Klaster WSFC gwarantuje, że ta para (VNN i VIP) jest </w:t>
      </w:r>
      <w:r>
        <w:rPr>
          <w:rFonts w:ascii="Google Sans Text" w:hAnsi="Google Sans Text" w:eastAsia="Google Sans Text" w:cs="Google Sans Text"/>
          <w:i/>
          <w:color w:val="1b1c1d"/>
        </w:rPr>
        <w:t>zawsze</w:t>
      </w:r>
      <w:r>
        <w:rPr>
          <w:rFonts w:ascii="Google Sans Text" w:hAnsi="Google Sans Text" w:eastAsia="Google Sans Text" w:cs="Google Sans Text"/>
          <w:color w:val="1b1c1d"/>
        </w:rPr>
        <w:t xml:space="preserve"> aktywna </w:t>
      </w:r>
      <w:r>
        <w:rPr>
          <w:rFonts w:ascii="Google Sans Text" w:hAnsi="Google Sans Text" w:eastAsia="Google Sans Text" w:cs="Google Sans Text"/>
          <w:b/>
          <w:color w:val="1b1c1d"/>
        </w:rPr>
        <w:t>tylko na tym węźle, który w danym momencie jest właścicielem</w:t>
      </w:r>
      <w:r>
        <w:rPr>
          <w:rFonts w:ascii="Google Sans Text" w:hAnsi="Google Sans Text" w:eastAsia="Google Sans Text" w:cs="Google Sans Text"/>
          <w:color w:val="1b1c1d"/>
        </w:rPr>
        <w:t xml:space="preserve"> usługi SQL Server i jej dysków.</w:t>
      </w:r>
      <w:r/>
    </w:p>
    <w:p>
      <w:pPr>
        <w:numPr>
          <w:ilvl w:val="0"/>
          <w:numId w:val="3"/>
        </w:numPr>
        <w:ind w:left="46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Podczas przełączenia awaryjnego (failover), klaster najpierw odmontowuje dyski i zatrzymuje SQL na Węźle A, a następnie podmontowuje dyski, uruchamia VNN/VIP i startuje SQL na Węźle B.</w:t>
      </w:r>
      <w:r/>
    </w:p>
    <w:p>
      <w:pPr>
        <w:spacing w:before="24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Korzyść:</w:t>
      </w:r>
      <w:r>
        <w:rPr>
          <w:rFonts w:ascii="Google Sans Text" w:hAnsi="Google Sans Text" w:eastAsia="Google Sans Text" w:cs="Google Sans Text"/>
          <w:color w:val="1b1c1d"/>
        </w:rPr>
        <w:t xml:space="preserve"> Aplikacje w swoich connection strings mają zawsze jeden i ten sam adres (np. SQLPROD). Z ich perspektywy, w razie awarii, serwer po prostu "znika" na kilkadziesiąt sekund, a potem "wraca" pod tym samym adresem.</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28" style="width:0.00pt;height:1.50pt" o:hr="t" o:hrpct="1000" o:hralign="center" o:hrstd="t" fillcolor="#a0a0a0" stroked="f"/>
        </w:pict>
      </w:r>
      <w:r/>
      <w:r>
        <w:rPr>
          <w:rFonts w:ascii="Google Sans Text" w:hAnsi="Google Sans Text" w:eastAsia="Google Sans Text" w:cs="Google Sans Text"/>
          <w:color w:val="1b1c1d"/>
        </w:rPr>
      </w:r>
    </w:p>
    <w:p>
      <w:pPr>
        <w:pStyle w:val="para1"/>
      </w:pPr>
      <w:r>
        <w:t>3. Kworum (głosowanie) i cykl życia instancji SQL FCI</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 xml:space="preserve">Po uruchomieniu Windows, klaster startuje usługę clussvc.exe, </w:t>
      </w:r>
      <w:r>
        <w:rPr>
          <w:rFonts w:ascii="Google Sans Text" w:hAnsi="Google Sans Text" w:eastAsia="Google Sans Text" w:cs="Google Sans Text"/>
          <w:b/>
          <w:color w:val="1b1c1d"/>
        </w:rPr>
        <w:t>ustala quorum</w:t>
      </w:r>
      <w:r>
        <w:rPr>
          <w:rFonts w:ascii="Google Sans Text" w:hAnsi="Google Sans Text" w:eastAsia="Google Sans Text" w:cs="Google Sans Text"/>
          <w:color w:val="1b1c1d"/>
        </w:rPr>
        <w:t xml:space="preserve"> i wybiera właściciela grupy SQL.</w:t>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Kworum (Quorum) to fundamentalny mechanizm głosowania w WSFC. Decyduje, czy klaster ma wystarczającą liczbę "głosów", aby legalnie działać. Działa to w następujący sposób:</w:t>
      </w:r>
    </w:p>
    <w:p>
      <w:pPr>
        <w:numPr>
          <w:ilvl w:val="0"/>
          <w:numId w:val="4"/>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Głosowanie:</w:t>
      </w:r>
      <w:r>
        <w:rPr>
          <w:rFonts w:ascii="Google Sans Text" w:hAnsi="Google Sans Text" w:eastAsia="Google Sans Text" w:cs="Google Sans Text"/>
          <w:color w:val="1b1c1d"/>
        </w:rPr>
        <w:t xml:space="preserve"> Każdy węzeł (node) w klastrze domyślnie posiada jeden głos. Aby klaster mógł legalnie działać i uruchomić zasoby, musi uzyskać </w:t>
      </w:r>
      <w:r>
        <w:rPr>
          <w:rFonts w:ascii="Google Sans Text" w:hAnsi="Google Sans Text" w:eastAsia="Google Sans Text" w:cs="Google Sans Text"/>
          <w:b/>
          <w:color w:val="1b1c1d"/>
        </w:rPr>
        <w:t>większość głosów (ponad 50%)</w:t>
      </w:r>
      <w:r>
        <w:rPr>
          <w:rFonts w:ascii="Google Sans Text" w:hAnsi="Google Sans Text" w:eastAsia="Google Sans Text" w:cs="Google Sans Text"/>
          <w:color w:val="1b1c1d"/>
        </w:rPr>
        <w:t>.</w:t>
      </w:r>
      <w:r/>
    </w:p>
    <w:p>
      <w:pPr>
        <w:numPr>
          <w:ilvl w:val="0"/>
          <w:numId w:val="4"/>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Rola Świadka (Witness):</w:t>
      </w:r>
      <w:r>
        <w:rPr>
          <w:rFonts w:ascii="Google Sans Text" w:hAnsi="Google Sans Text" w:eastAsia="Google Sans Text" w:cs="Google Sans Text"/>
          <w:color w:val="1b1c1d"/>
        </w:rPr>
        <w:t xml:space="preserve"> W Twojej konfiguracji 2-węzłowej, aby uniknąć pata (gdzie 1 węzeł to 50%, co nie jest większością), kluczową rolę odgrywa </w:t>
      </w:r>
      <w:r>
        <w:rPr>
          <w:rFonts w:ascii="Google Sans Text" w:hAnsi="Google Sans Text" w:eastAsia="Google Sans Text" w:cs="Google Sans Text"/>
          <w:b/>
          <w:color w:val="1b1c1d"/>
        </w:rPr>
        <w:t>'świadek' (Witness)</w:t>
      </w:r>
      <w:r>
        <w:rPr>
          <w:rFonts w:ascii="Google Sans Text" w:hAnsi="Google Sans Text" w:eastAsia="Google Sans Text" w:cs="Google Sans Text"/>
          <w:color w:val="1b1c1d"/>
        </w:rPr>
        <w:t xml:space="preserve">. Świadek (np. File Share Witness na serwerze plików lub dedykowany dysk) również otrzymuje jeden głos, podnosząc łączną liczbę głosów do </w:t>
      </w:r>
      <w:r>
        <w:rPr>
          <w:rFonts w:ascii="Google Sans Text" w:hAnsi="Google Sans Text" w:eastAsia="Google Sans Text" w:cs="Google Sans Text"/>
          <w:b/>
          <w:color w:val="1b1c1d"/>
        </w:rPr>
        <w:t>3</w:t>
      </w:r>
      <w:r>
        <w:rPr>
          <w:rFonts w:ascii="Google Sans Text" w:hAnsi="Google Sans Text" w:eastAsia="Google Sans Text" w:cs="Google Sans Text"/>
          <w:color w:val="1b1c1d"/>
        </w:rPr>
        <w:t>.</w:t>
      </w:r>
      <w:r/>
    </w:p>
    <w:p>
      <w:pPr>
        <w:numPr>
          <w:ilvl w:val="0"/>
          <w:numId w:val="4"/>
        </w:numPr>
        <w:ind w:left="480"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Werdykt:</w:t>
      </w:r>
      <w:r>
        <w:rPr>
          <w:rFonts w:ascii="Google Sans Text" w:hAnsi="Google Sans Text" w:eastAsia="Google Sans Text" w:cs="Google Sans Text"/>
          <w:color w:val="1b1c1d"/>
        </w:rPr>
        <w:t xml:space="preserve"> Dzięki temu, aby klaster działał, potrzebuje </w:t>
      </w:r>
      <w:r>
        <w:rPr>
          <w:rFonts w:ascii="Google Sans Text" w:hAnsi="Google Sans Text" w:eastAsia="Google Sans Text" w:cs="Google Sans Text"/>
          <w:b/>
          <w:color w:val="1b1c1d"/>
        </w:rPr>
        <w:t>2 z 3 głosów</w:t>
      </w:r>
      <w:r>
        <w:rPr>
          <w:rFonts w:ascii="Google Sans Text" w:hAnsi="Google Sans Text" w:eastAsia="Google Sans Text" w:cs="Google Sans Text"/>
          <w:color w:val="1b1c1d"/>
        </w:rPr>
        <w:t>. W ten sposób jeden sprawny węzeł wraz ze świadkiem może utrzymać klaster, nawet gdy drugi węzeł ulegnie awarii.</w:t>
      </w:r>
      <w:r/>
    </w:p>
    <w:p>
      <w:pPr>
        <w:spacing w:before="24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 xml:space="preserve">Głównym celem kworum jest </w:t>
      </w:r>
      <w:r>
        <w:rPr>
          <w:rFonts w:ascii="Google Sans Text" w:hAnsi="Google Sans Text" w:eastAsia="Google Sans Text" w:cs="Google Sans Text"/>
          <w:b/>
          <w:color w:val="1b1c1d"/>
        </w:rPr>
        <w:t>zapobieganie scenariuszowi "split-brain"</w:t>
      </w:r>
      <w:r>
        <w:rPr>
          <w:rFonts w:ascii="Google Sans Text" w:hAnsi="Google Sans Text" w:eastAsia="Google Sans Text" w:cs="Google Sans Text"/>
          <w:color w:val="1b1c1d"/>
        </w:rPr>
        <w:t xml:space="preserve"> (rozdwojenia jaźni), w którym (np. po awarii sieci) oba węzły próbowałyby jednocześnie przejąć dyski, co prowadzi do korupcji danych.</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Współczesne wersje WSFC (od 2012) używają "Dynamicznego Kworum" (Dynamic Quorum).</w:t>
      </w:r>
      <w:r>
        <w:rPr>
          <w:rFonts w:ascii="Google Sans Text" w:hAnsi="Google Sans Text" w:eastAsia="Google Sans Text" w:cs="Google Sans Text"/>
          <w:color w:val="1b1c1d"/>
        </w:rPr>
        <w:t xml:space="preserve"> Oznacza to, że klaster inteligentnie zarządza głosami – na przykład, jeśli węzeł jest poprawnie wyłączony (maintenance), tymczasowo traci swój głos, aby nie paraliżować klastra. Klaster dynamicznie dostosowuje wymaganą większość w oparciu o to, które węzły są </w:t>
      </w:r>
      <w:r>
        <w:rPr>
          <w:rFonts w:ascii="Google Sans Text" w:hAnsi="Google Sans Text" w:eastAsia="Google Sans Text" w:cs="Google Sans Text"/>
          <w:i/>
          <w:color w:val="1b1c1d"/>
        </w:rPr>
        <w:t>faktycznie</w:t>
      </w:r>
      <w:r>
        <w:rPr>
          <w:rFonts w:ascii="Google Sans Text" w:hAnsi="Google Sans Text" w:eastAsia="Google Sans Text" w:cs="Google Sans Text"/>
          <w:color w:val="1b1c1d"/>
        </w:rPr>
        <w:t xml:space="preserve"> online.</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Po ustaleniu kworum, klaster uruchamia sekwencyjnie zasoby: IP, Network Name, Storage, SQL Server, SQL Agent.</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Jest to sztywna "drabinka zależności" (resource dependencies):</w:t>
      </w:r>
      <w:r>
        <w:rPr>
          <w:rFonts w:ascii="Google Sans Text" w:hAnsi="Google Sans Text" w:eastAsia="Google Sans Text" w:cs="Google Sans Text"/>
          <w:color w:val="1b1c1d"/>
        </w:rPr>
        <w:t xml:space="preserve"> SQL Agent zależy od SQL Server, a SQL Server zależy od Dysków (Storage) oraz Nazwy Sieciowej (Network Name). Jeśli którykolwiek z zasobów niżej w łańcuchu zawiedzie (np. dysk nie zostanie podmontowany), zasoby zależne od niego (SQL Server) nawet nie podejmą próby uruchomienia.</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Wywoływana jest biblioteka hadrres.dll, która komunikuje się z Service Control Managerem, aby wystartować sqlservr.exe. Klaster monitoruje proces za pomocą testów LooksAlive i IsAlive.</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„SQL Server w FCI nie wstaje sam. To klaster mówi mu, kiedy ma wstać, a kiedy położyć się spać.”</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29" style="width:0.00pt;height:1.50pt" o:hr="t" o:hrpct="1000" o:hralign="center" o:hrstd="t" fillcolor="#a0a0a0" stroked="f"/>
        </w:pict>
      </w:r>
      <w:r/>
      <w:r>
        <w:rPr>
          <w:rFonts w:ascii="Google Sans Text" w:hAnsi="Google Sans Text" w:eastAsia="Google Sans Text" w:cs="Google Sans Text"/>
          <w:color w:val="1b1c1d"/>
        </w:rPr>
      </w:r>
    </w:p>
    <w:p>
      <w:pPr>
        <w:pStyle w:val="para1"/>
      </w:pPr>
      <w:r>
        <w:t>4. Jak Klaster monitoruje SQL: LooksAlive vs. IsAlive</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Klaster nie "wie", czym jest SQL Server. Używa biblioteki hadrres.dll, która udostępnia mu dwa kluczowe testy monitorujące:</w:t>
      </w:r>
    </w:p>
    <w:p>
      <w:pPr>
        <w:numPr>
          <w:ilvl w:val="0"/>
          <w:numId w:val="5"/>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LooksAlive (Szybki test "Czy żyjesz?")</w:t>
      </w:r>
      <w:r/>
    </w:p>
    <w:p>
      <w:pPr>
        <w:numPr>
          <w:ilvl w:val="1"/>
          <w:numId w:val="6"/>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To jest powierzchowny, ale bardzo częsty test (domyślnie co 5 sekund, jak w Twoim skrypcie).</w:t>
      </w:r>
      <w:r/>
    </w:p>
    <w:p>
      <w:pPr>
        <w:numPr>
          <w:ilvl w:val="1"/>
          <w:numId w:val="6"/>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Sprawdza on jedynie, czy usługa SQL Server (sqlservr.exe) jest uruchomiona i odpowiada na podstawowe zapytania systemowe. Nie sprawdza, czy bazy danych są online.</w:t>
      </w:r>
      <w:r/>
    </w:p>
    <w:p>
      <w:pPr>
        <w:numPr>
          <w:ilvl w:val="1"/>
          <w:numId w:val="6"/>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Jeśli ten test zawiedzie, klaster </w:t>
      </w:r>
      <w:r>
        <w:rPr>
          <w:rFonts w:ascii="Google Sans Text" w:hAnsi="Google Sans Text" w:eastAsia="Google Sans Text" w:cs="Google Sans Text"/>
          <w:b/>
          <w:color w:val="1b1c1d"/>
        </w:rPr>
        <w:t>nie inicjuje od razu przełączenia awaryjnego (failover)</w:t>
      </w:r>
      <w:r>
        <w:rPr>
          <w:rFonts w:ascii="Google Sans Text" w:hAnsi="Google Sans Text" w:eastAsia="Google Sans Text" w:cs="Google Sans Text"/>
          <w:color w:val="1b1c1d"/>
        </w:rPr>
        <w:t>. Zazwyczaj ponowi próbę lub spróbuje zrestartować sam zasób na tym samym węźle.</w:t>
      </w:r>
      <w:r/>
    </w:p>
    <w:p>
      <w:pPr>
        <w:numPr>
          <w:ilvl w:val="0"/>
          <w:numId w:val="5"/>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IsAlive (Głęboki test "Czy pracujesz?")</w:t>
      </w:r>
      <w:r/>
    </w:p>
    <w:p>
      <w:pPr>
        <w:numPr>
          <w:ilvl w:val="1"/>
          <w:numId w:val="7"/>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To jest dogłębny, ale rzadszy test (domyślnie co 60 sekund, jak w Twoim skrypcie).</w:t>
      </w:r>
      <w:r/>
    </w:p>
    <w:p>
      <w:pPr>
        <w:numPr>
          <w:ilvl w:val="1"/>
          <w:numId w:val="7"/>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Ten test faktycznie łączy się z instancją SQL i wykonuje polecenie (np. SELECT @@SERVERNAME), aby potwierdzić, że instancja </w:t>
      </w:r>
      <w:r>
        <w:rPr>
          <w:rFonts w:ascii="Google Sans Text" w:hAnsi="Google Sans Text" w:eastAsia="Google Sans Text" w:cs="Google Sans Text"/>
          <w:i/>
          <w:color w:val="1b1c1d"/>
        </w:rPr>
        <w:t>realnie</w:t>
      </w:r>
      <w:r>
        <w:rPr>
          <w:rFonts w:ascii="Google Sans Text" w:hAnsi="Google Sans Text" w:eastAsia="Google Sans Text" w:cs="Google Sans Text"/>
          <w:color w:val="1b1c1d"/>
        </w:rPr>
        <w:t xml:space="preserve"> działa i jest w stanie przyjmować połączenia.</w:t>
      </w:r>
      <w:r/>
    </w:p>
    <w:p>
      <w:pPr>
        <w:numPr>
          <w:ilvl w:val="1"/>
          <w:numId w:val="7"/>
        </w:numPr>
        <w:ind w:left="88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Jeśli ten test zawiedzie, klaster uznaje, że usługa SQL uległa awarii i natychmiast inicjuje proces failover</w:t>
      </w:r>
      <w:r>
        <w:rPr>
          <w:rFonts w:ascii="Google Sans Text" w:hAnsi="Google Sans Text" w:eastAsia="Google Sans Text" w:cs="Google Sans Text"/>
          <w:color w:val="1b1c1d"/>
        </w:rPr>
        <w:t>, przenosząc całą grupę zasóbów na drugi węzeł.</w:t>
      </w:r>
      <w:r/>
    </w:p>
    <w:p>
      <w:pPr>
        <w:spacing w:before="24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Dlaczego to jest kluczowe dla tuningu:</w:t>
      </w:r>
      <w:r>
        <w:rPr>
          <w:rFonts w:ascii="Google Sans Text" w:hAnsi="Google Sans Text" w:eastAsia="Google Sans Text" w:cs="Google Sans Text"/>
          <w:color w:val="1b1c1d"/>
        </w:rPr>
        <w:t xml:space="preserve"> Wiele niepotrzebnych przełączeń awaryjnych zdarza się, gdy mocno obciążony SQL Server (np. podczas backupu lub złożonego zapytania) nie jest w stanie odpowiedzieć na zapytanie IsAlive wystarczająco szybko. Klaster mylnie uznaje to za awarię. Dlatego tak ważne jest ustawienie IsAlivePollInterval na rozsądną wartość (np. 60 sekund), aby dać SQL-owi "margines" na odpowiedź.</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0" style="width:0.00pt;height:1.50pt" o:hr="t" o:hrpct="1000" o:hralign="center" o:hrstd="t" fillcolor="#a0a0a0" stroked="f"/>
        </w:pict>
      </w:r>
      <w:r/>
      <w:r>
        <w:rPr>
          <w:rFonts w:ascii="Google Sans Text" w:hAnsi="Google Sans Text" w:eastAsia="Google Sans Text" w:cs="Google Sans Text"/>
          <w:color w:val="1b1c1d"/>
        </w:rPr>
      </w:r>
    </w:p>
    <w:p>
      <w:pPr>
        <w:pStyle w:val="para1"/>
      </w:pPr>
      <w:r>
        <w:t>5. Diagram Przepływu: Anatomia Monitorowania</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Poniższy schemat wizualizuje łańcuch poleceń od decyzji klastra do faktycznego testu instancji SQL Server.</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b1c1d"/>
          <w:shd w:val="clear" w:fill="f0f4f9"/>
        </w:rPr>
        <w:t>┌──────────────────────────────────────────┐</w:t>
        <w:br w:type="textWrapping"/>
        <w:t>│ 1. Usługa Klastra Windows (WSFC)         │</w:t>
        <w:br w:type="textWrapping"/>
        <w:t>│    (clussvc.exe)                         │</w:t>
        <w:br w:type="textWrapping"/>
        <w:t>│ *Decyduje, KIEDY monitorować* │</w:t>
        <w:br w:type="textWrapping"/>
        <w:t>└───────────────────┬──────────────────────┘</w:t>
        <w:br w:type="textWrapping"/>
        <w:t xml:space="preserve">                    │</w:t>
        <w:br w:type="textWrapping"/>
        <w:t xml:space="preserve">                    │ Wywołuje ogólne polecenia</w:t>
        <w:br w:type="textWrapping"/>
        <w:t xml:space="preserve">                    │ (np. "Sprawdź zasób X")</w:t>
        <w:br w:type="textWrapping"/>
        <w:t xml:space="preserve">                    │</w:t>
        <w:br w:type="textWrapping"/>
        <w:t>┌───────────────────▼──────────────────────┐</w:t>
        <w:br w:type="textWrapping"/>
        <w:t>│ 2. API Klastra (clusapi.dll / resutils.dll)│</w:t>
        <w:br w:type="textWrapping"/>
        <w:t>│ *Ogólny interfejs dla wszystkich zasobów* │</w:t>
        <w:br w:type="textWrapping"/>
        <w:t>└───────────────────┬──────────────────────┘</w:t>
        <w:br w:type="textWrapping"/>
        <w:t xml:space="preserve">                    │</w:t>
        <w:br w:type="textWrapping"/>
        <w:t xml:space="preserve">                    │ Przekazuje polecenie do</w:t>
        <w:br w:type="textWrapping"/>
        <w:t xml:space="preserve">                    │ specyficznej biblioteki DLL</w:t>
        <w:br w:type="textWrapping"/>
        <w:t xml:space="preserve">                    │</w:t>
        <w:br w:type="textWrapping"/>
        <w:t>┌───────────────────▼──────────────────────┐</w:t>
        <w:br w:type="textWrapping"/>
        <w:t>│ 3. Biblioteka Zasobu SQL (hadrres.dll)   │</w:t>
        <w:br w:type="textWrapping"/>
        <w:t>│ *Tłumacz: Wie, JAK rozmawiać z SQL* │</w:t>
        <w:br w:type="textWrapping"/>
        <w:t>└───────────────────┬──────────────────────┘</w:t>
        <w:br w:type="textWrapping"/>
        <w:t xml:space="preserve">                    │</w:t>
        <w:br w:type="textWrapping"/>
        <w:t xml:space="preserve">                    ├─── Test [LooksAlive] (Częsty, Szybki) ───► ┌──────────────────┐</w:t>
        <w:br w:type="textWrapping"/>
        <w:t xml:space="preserve">                    │    *Sprawdza, czy proces sqlservr.exe     │ 4. Proces SQL    │</w:t>
        <w:br w:type="textWrapping"/>
        <w:t xml:space="preserve">                    │     w ogóle istnieje i odpowiada.* │    (sqlservr.exe)  │</w:t>
        <w:br w:type="textWrapping"/>
        <w:t xml:space="preserve">                    │                                           │                  │</w:t>
        <w:br w:type="textWrapping"/>
        <w:t xml:space="preserve">                    ├─── Test [IsAlive] (Rzadki, Głęboki)  ───► │ *Faktyczna baza* │</w:t>
        <w:br w:type="textWrapping"/>
        <w:t xml:space="preserve">                         *Wykonuje "SELECT @@SERVERNAME",      │                  │</w:t>
        <w:br w:type="textWrapping"/>
        <w:t xml:space="preserve">                         aby sprawdzić, czy instancja          └──────────────────┘</w:t>
        <w:br w:type="textWrapping"/>
        <w:t xml:space="preserve">                         realnie przyjmuje połączenia.*</w:t>
        <w:br w:type="textWrapping"/>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
        <w:rPr>
          <w:noProof/>
        </w:rPr>
        <w:pict>
          <v:rect id="_x0000_i1031" style="width:0.00pt;height:1.50pt" o:hr="t" o:hrpct="1000" o:hralign="center" o:hrstd="t" fillcolor="#a0a0a0" stroked="f"/>
        </w:pict>
      </w:r>
      <w:r/>
      <w:r>
        <w:rPr>
          <w:rFonts w:ascii="Google Sans Text" w:hAnsi="Google Sans Text" w:eastAsia="Google Sans Text" w:cs="Google Sans Text"/>
          <w:color w:val="1b1c1d"/>
          <w:shd w:val="clear" w:fill="f0f4f9"/>
        </w:rPr>
      </w:r>
    </w:p>
    <w:p>
      <w:pPr>
        <w:pStyle w:val="para1"/>
      </w:pPr>
      <w:r>
        <w:t>6. Dlaczego usługa SQL ma tryb 'Manual'</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 xml:space="preserve">Usługa SQL Server w FCI jest ustawiona na </w:t>
      </w:r>
      <w:r>
        <w:rPr>
          <w:rFonts w:ascii="Google Sans Text" w:hAnsi="Google Sans Text" w:eastAsia="Google Sans Text" w:cs="Google Sans Text"/>
          <w:b/>
          <w:color w:val="1b1c1d"/>
        </w:rPr>
        <w:t>Manual</w:t>
      </w:r>
      <w:r>
        <w:rPr>
          <w:rFonts w:ascii="Google Sans Text" w:hAnsi="Google Sans Text" w:eastAsia="Google Sans Text" w:cs="Google Sans Text"/>
          <w:color w:val="1b1c1d"/>
        </w:rPr>
        <w:t>, aby uniknąć sytuacji, w której Windows uruchomiłby ją samodzielnie na obu węzłach jednocześnie (np. po restarcie serwera). Klaster sam decyduje, kiedy SQL ma być Online lub Offline.</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2" style="width:0.00pt;height:1.50pt" o:hr="t" o:hrpct="1000" o:hralign="center" o:hrstd="t" fillcolor="#a0a0a0" stroked="f"/>
        </w:pict>
      </w:r>
      <w:r/>
      <w:r>
        <w:rPr>
          <w:rFonts w:ascii="Google Sans Text" w:hAnsi="Google Sans Text" w:eastAsia="Google Sans Text" w:cs="Google Sans Text"/>
          <w:color w:val="1b1c1d"/>
        </w:rPr>
      </w:r>
    </w:p>
    <w:p>
      <w:pPr>
        <w:pStyle w:val="para1"/>
      </w:pPr>
      <w:r>
        <w:t>7. Przenoszenie roli i stan 'Failed'</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Podczas polecenia Move Role klaster wysyła sekwencję Offline $\rightarrow$ Online do zasobu SQL. Jeśli SQL zamyka się zbyt długo lub storage nie odmontuje się w czasie, WSFC uzna zasób za 'Failed'. Manualny cykl Stop $\rightarrow$ Move $\rightarrow$ Start działa, bo pozwalasz SQL-owi zamknąć się bez presji time-outu.</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Rozwiązanie: zwiększ PendingTimeout, dostosuj IsAlivePollInterval, LooksAlivePollInterval i popraw zależności zasobów.</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„Klaster to nie kapryśna maszyna — to surowy zegarmistrz. Gdy SQL potrzebuje oddechu, klaster musi nauczyć się czekać.”</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3" style="width:0.00pt;height:1.50pt" o:hr="t" o:hrpct="1000" o:hralign="center" o:hrstd="t" fillcolor="#a0a0a0" stroked="f"/>
        </w:pict>
      </w:r>
      <w:r/>
      <w:r>
        <w:rPr>
          <w:rFonts w:ascii="Google Sans Text" w:hAnsi="Google Sans Text" w:eastAsia="Google Sans Text" w:cs="Google Sans Text"/>
          <w:color w:val="1b1c1d"/>
        </w:rPr>
      </w:r>
    </w:p>
    <w:p>
      <w:pPr>
        <w:pStyle w:val="para1"/>
      </w:pPr>
      <w:r>
        <w:t>8. PowerShell – Tune-FCI-Timeouts.ps1</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Skrypt Tune-FCI-Timeouts.ps1 automatycznie ustawia rozsądne wartości timeoutów i zależności dla zasobów SQL i SQL Agent. Generuje raport HTML i zrzut cluster.log.</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Dlaczego jest to konieczne? Domyślne wartości timeoutów w WSFC są często zbyt agresywne dla SQL Server. Podczas planowego zamykania, SQL musi zapisać dane z cache na dysk (tzw. "checkpoint") lub wycofać długie transakcje. Na wolniejszych dyskach lub przy dużym obciążeniu proces ten trwa znacznie dłużej niż domyślne kilka sekund, co klaster błędnie interpretuje jako awarię.</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Fragment kodu:</w:t>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PowerShell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Pr>
        <w:t>Set-ClusterResource</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-Name</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-PendingTimeout</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600000</w:t>
      </w:r>
      <w:r>
        <w:rPr>
          <w:rFonts w:ascii="Google Sans Text" w:hAnsi="Google Sans Text" w:eastAsia="Google Sans Text" w:cs="Google Sans Text"/>
          <w:color w:val="1b1c1d"/>
          <w:shd w:val="clear" w:fill="f0f4f9"/>
        </w:rPr>
        <w:br w:type="textWrapping"/>
      </w:r>
      <w:r>
        <w:rPr>
          <w:rFonts w:ascii="Google Sans Text" w:hAnsi="Google Sans Text" w:eastAsia="Google Sans Text" w:cs="Google Sans Text"/>
          <w:color w:val="1967d2"/>
          <w:sz w:val="20"/>
          <w:szCs w:val="20"/>
          <w:shd w:val="clear" w:fill="f0f4f9"/>
        </w:rPr>
        <w:t>Set-ClusterParameter</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-Resource</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-Name</w:t>
      </w:r>
      <w:r>
        <w:rPr>
          <w:rFonts w:ascii="Google Sans Text" w:hAnsi="Google Sans Text" w:eastAsia="Google Sans Text" w:cs="Google Sans Text"/>
          <w:color w:val="1b1c1d"/>
          <w:shd w:val="clear" w:fill="f0f4f9"/>
        </w:rPr>
        <w:t xml:space="preserve"> LooksAlivePollInterval </w:t>
      </w:r>
      <w:r>
        <w:rPr>
          <w:rFonts w:ascii="Google Sans Text" w:hAnsi="Google Sans Text" w:eastAsia="Google Sans Text" w:cs="Google Sans Text"/>
          <w:color w:val="b55908"/>
          <w:sz w:val="20"/>
          <w:szCs w:val="20"/>
          <w:shd w:val="clear" w:fill="f0f4f9"/>
        </w:rPr>
        <w:t>-Value</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5000</w:t>
      </w:r>
      <w:r>
        <w:rPr>
          <w:rFonts w:ascii="Google Sans Text" w:hAnsi="Google Sans Text" w:eastAsia="Google Sans Text" w:cs="Google Sans Text"/>
          <w:color w:val="1b1c1d"/>
          <w:shd w:val="clear" w:fill="f0f4f9"/>
        </w:rPr>
        <w:br w:type="textWrapping"/>
      </w:r>
      <w:r>
        <w:rPr>
          <w:rFonts w:ascii="Google Sans Text" w:hAnsi="Google Sans Text" w:eastAsia="Google Sans Text" w:cs="Google Sans Text"/>
          <w:color w:val="1967d2"/>
          <w:sz w:val="20"/>
          <w:szCs w:val="20"/>
          <w:shd w:val="clear" w:fill="f0f4f9"/>
        </w:rPr>
        <w:t>Set-ClusterParameter</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-Resource</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-Name</w:t>
      </w:r>
      <w:r>
        <w:rPr>
          <w:rFonts w:ascii="Google Sans Text" w:hAnsi="Google Sans Text" w:eastAsia="Google Sans Text" w:cs="Google Sans Text"/>
          <w:color w:val="1b1c1d"/>
          <w:shd w:val="clear" w:fill="f0f4f9"/>
        </w:rPr>
        <w:t xml:space="preserve"> IsAlivePollInterval </w:t>
      </w:r>
      <w:r>
        <w:rPr>
          <w:rFonts w:ascii="Google Sans Text" w:hAnsi="Google Sans Text" w:eastAsia="Google Sans Text" w:cs="Google Sans Text"/>
          <w:color w:val="b55908"/>
          <w:sz w:val="20"/>
          <w:szCs w:val="20"/>
          <w:shd w:val="clear" w:fill="f0f4f9"/>
        </w:rPr>
        <w:t>-Value</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60000</w:t>
      </w:r>
      <w:r>
        <w:rPr>
          <w:rFonts w:ascii="Google Sans Text" w:hAnsi="Google Sans Text" w:eastAsia="Google Sans Text" w:cs="Google Sans Text"/>
          <w:color w:val="1b1c1d"/>
          <w:shd w:val="clear" w:fill="f0f4f9"/>
        </w:rPr>
        <w:br w:type="textWrapping"/>
      </w:r>
      <w:r>
        <w:rPr>
          <w:rFonts w:ascii="Google Sans Text" w:hAnsi="Google Sans Text" w:eastAsia="Google Sans Text" w:cs="Google Sans Text"/>
          <w:color w:val="1b1c1d"/>
          <w:shd w:val="clear" w:fill="f0f4f9"/>
        </w:rPr>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
        <w:rPr>
          <w:noProof/>
        </w:rPr>
        <w:pict>
          <v:rect id="_x0000_i1034" style="width:0.00pt;height:1.50pt" o:hr="t" o:hrpct="1000" o:hralign="center" o:hrstd="t" fillcolor="#a0a0a0" stroked="f"/>
        </w:pict>
      </w:r>
      <w:r/>
      <w:r>
        <w:rPr>
          <w:rFonts w:ascii="Google Sans Text" w:hAnsi="Google Sans Text" w:eastAsia="Google Sans Text" w:cs="Google Sans Text"/>
          <w:color w:val="1b1c1d"/>
          <w:shd w:val="clear" w:fill="f0f4f9"/>
        </w:rPr>
      </w:r>
    </w:p>
    <w:p>
      <w:pPr>
        <w:pStyle w:val="para1"/>
      </w:pPr>
      <w:r>
        <w:t>9. Rekomendacje i Kluczowe Parametry Konfiguracyjne</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Oprócz timeoutów specyficznych dla SQL (sekcja 8), kluczowe jest dostrojenie samego klastra WSFC, aby był bardziej tolerancyjny dla obciążeń bazodanowych. Poniższe tabele podsumowują najważniejsze parametry.</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pStyle w:val="para4"/>
        <w:spacing w:before="0" w:after="120" w:line="276" w:lineRule="auto"/>
        <w:rPr>
          <w:rFonts w:ascii="Google Sans" w:hAnsi="Google Sans" w:eastAsia="Google Sans" w:cs="Google Sans"/>
          <w:color w:val="1b1c1d"/>
        </w:rPr>
      </w:pPr>
      <w:r>
        <w:rPr>
          <w:rFonts w:ascii="Google Sans" w:hAnsi="Google Sans" w:eastAsia="Google Sans" w:cs="Google Sans"/>
          <w:color w:val="1b1c1d"/>
        </w:rPr>
        <w:t>Kluczowe Parametry Klastra WSFC (Globalne)</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Te ustawienia wpływają na cały klaster i jego "wrażliwość" na problemy sieciowe.</w:t>
      </w:r>
    </w:p>
    <w:tbl>
      <w:tblPr>
        <w:tblStyle w:val=""/>
        <w:name w:val="Tabela10"/>
        <w:tabOrder w:val="0"/>
        <w:jc w:val="left"/>
        <w:tblInd w:w="0" w:type="dxa"/>
        <w:tblW w:w="9360" w:type="dxa"/>
        <w:tblLook w:val="0600" w:firstRow="0" w:lastRow="0" w:firstColumn="0" w:lastColumn="0" w:noHBand="1" w:noVBand="1"/>
        <w:tblPrChange w:id="0" w:author="Nieznany" w:date="1970-01-01T01:00:00Z" w:revision="0">
          <w:tblPr>
            <w:name w:val="Tabela10"/>
            <w:tabOrder w:val="0"/>
            <w:jc w:val="left"/>
            <w:tblInd w:w="0" w:type="dxa"/>
            <w:tblW w:w="0" w:type="dxa"/>
          </w:tblPr>
        </w:tblPrChange>
      </w:tblPr>
      <w:tblGrid>
        <w:gridCol w:w="2340"/>
        <w:gridCol w:w="2340"/>
        <w:gridCol w:w="2340"/>
        <w:gridCol w:w="2340"/>
        <w:tblGridChange w:id="1" w:author="Nieznany" w:date="1970-01-01T01:00:00Z" w:revision="0">
          <w:tblGrid>
            <w:gridCol w:w="2340"/>
            <w:gridCol w:w="2340"/>
            <w:gridCol w:w="2340"/>
            <w:gridCol w:w="2340"/>
          </w:tblGrid>
        </w:tblGridChange>
      </w:tblGrid>
      <w:tr>
        <w:trPr>
          <w:tblHeader w:val="0"/>
          <w:cantSplit w:val="0"/>
          <w:trHeight w:val="0" w:hRule="auto"/>
          <w:trPrChange w:id="2"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Parametr (PowerShell)</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Opis</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Domyślnie</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6"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Rekomendacja dla SQL</w:t>
            </w:r>
          </w:p>
        </w:tc>
      </w:tr>
      <w:tr>
        <w:trPr>
          <w:tblHeader w:val="0"/>
          <w:cantSplit w:val="0"/>
          <w:trHeight w:val="0" w:hRule="auto"/>
          <w:trPrChange w:id="7"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8"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(Get-Cluster).SameSubnetThreshold</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9"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Liczba utraconych pakietów "heartbeat" w tej samej podsieci, która powoduje uznanie węzła za martwy.</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0"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5 pakietów</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1"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10</w:t>
            </w:r>
            <w:r>
              <w:rPr>
                <w:rFonts w:ascii="Google Sans Text" w:hAnsi="Google Sans Text" w:eastAsia="Google Sans Text" w:cs="Google Sans Text"/>
                <w:color w:val="1b1c1d"/>
              </w:rPr>
              <w:t xml:space="preserve"> (lub 20)</w:t>
            </w:r>
          </w:p>
        </w:tc>
      </w:tr>
      <w:tr>
        <w:trPr>
          <w:tblHeader w:val="0"/>
          <w:cantSplit w:val="0"/>
          <w:trHeight w:val="0" w:hRule="auto"/>
          <w:trPrChange w:id="12"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3"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(Get-Cluster).SameSubnetDelay</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4"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Czas (w ms) pomiędzy wysłaniem kolejnych pakietów "heartbeat".</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5"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1000 ms (1s)</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6"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1000 ms lub 2000 ms</w:t>
            </w:r>
          </w:p>
        </w:tc>
      </w:tr>
      <w:tr>
        <w:trPr>
          <w:tblHeader w:val="0"/>
          <w:cantSplit w:val="0"/>
          <w:trHeight w:val="0" w:hRule="auto"/>
          <w:trPrChange w:id="17"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8"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(Get-Cluster).CrossSubnetThreshold</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19"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Jak wyżej, ale dla komunikacji między różnymi podsieciami (mniej istotne w typowym FCI).</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20"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5 pakietów</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21"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10</w:t>
            </w:r>
          </w:p>
        </w:tc>
      </w:tr>
      <w:tr>
        <w:trPr>
          <w:tblHeader w:val="0"/>
          <w:cantSplit w:val="0"/>
          <w:trHeight w:val="0" w:hRule="auto"/>
          <w:trPrChange w:id="22"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23"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(Get-Cluster).CrossSubnetDelay</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24"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Jak wyżej, ale dla komunikacji między podsieciami.</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25"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1000 ms (1s)</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26"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1000 ms</w:t>
            </w:r>
          </w:p>
        </w:tc>
      </w:tr>
    </w:tbl>
    <w:p>
      <w:pPr>
        <w:spacing w:before="48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pStyle w:val="para4"/>
        <w:spacing w:before="0" w:after="120" w:line="276" w:lineRule="auto"/>
        <w:rPr>
          <w:rFonts w:ascii="Google Sans" w:hAnsi="Google Sans" w:eastAsia="Google Sans" w:cs="Google Sans"/>
          <w:color w:val="1b1c1d"/>
        </w:rPr>
      </w:pPr>
      <w:r>
        <w:rPr>
          <w:rFonts w:ascii="Google Sans" w:hAnsi="Google Sans" w:eastAsia="Google Sans" w:cs="Google Sans"/>
          <w:color w:val="1b1c1d"/>
        </w:rPr>
        <w:t>Kluczowe Parametry Zasobu SQL Server FCI (Specyficzne dla roli)</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 xml:space="preserve">Te ustawienia kontrolują, jak klaster traktuje </w:t>
      </w:r>
      <w:r>
        <w:rPr>
          <w:rFonts w:ascii="Google Sans Text" w:hAnsi="Google Sans Text" w:eastAsia="Google Sans Text" w:cs="Google Sans Text"/>
          <w:i/>
          <w:color w:val="1b1c1d"/>
        </w:rPr>
        <w:t>konkretny</w:t>
      </w:r>
      <w:r>
        <w:rPr>
          <w:rFonts w:ascii="Google Sans Text" w:hAnsi="Google Sans Text" w:eastAsia="Google Sans Text" w:cs="Google Sans Text"/>
          <w:color w:val="1b1c1d"/>
        </w:rPr>
        <w:t xml:space="preserve"> zasób SQL Server. (W poleceniach zastąp SQLPROD nazwą swojego zasobu SQL).</w:t>
      </w:r>
    </w:p>
    <w:tbl>
      <w:tblPr>
        <w:tblStyle w:val=""/>
        <w:name w:val="Tabela11"/>
        <w:tabOrder w:val="0"/>
        <w:jc w:val="left"/>
        <w:tblInd w:w="0" w:type="dxa"/>
        <w:tblW w:w="9360" w:type="dxa"/>
        <w:tblLook w:val="0600" w:firstRow="0" w:lastRow="0" w:firstColumn="0" w:lastColumn="0" w:noHBand="1" w:noVBand="1"/>
        <w:tblPrChange w:id="27" w:author="Nieznany" w:date="1970-01-01T01:00:00Z" w:revision="0">
          <w:tblPr>
            <w:name w:val="Tabela11"/>
            <w:tabOrder w:val="0"/>
            <w:jc w:val="left"/>
            <w:tblInd w:w="0" w:type="dxa"/>
            <w:tblW w:w="0" w:type="dxa"/>
          </w:tblPr>
        </w:tblPrChange>
      </w:tblPr>
      <w:tblGrid>
        <w:gridCol w:w="2340"/>
        <w:gridCol w:w="2340"/>
        <w:gridCol w:w="2340"/>
        <w:gridCol w:w="2340"/>
        <w:tblGridChange w:id="28" w:author="Nieznany" w:date="1970-01-01T01:00:00Z" w:revision="0">
          <w:tblGrid>
            <w:gridCol w:w="2340"/>
            <w:gridCol w:w="2340"/>
            <w:gridCol w:w="2340"/>
            <w:gridCol w:w="2340"/>
          </w:tblGrid>
        </w:tblGridChange>
      </w:tblGrid>
      <w:tr>
        <w:trPr>
          <w:tblHeader w:val="0"/>
          <w:cantSplit w:val="0"/>
          <w:trHeight w:val="0" w:hRule="auto"/>
          <w:trPrChange w:id="29"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0"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Parametr (PowerShell)</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1"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Opis</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2"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Domyślnie</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3"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Rekomendacja (ze skryptu)</w:t>
            </w:r>
          </w:p>
        </w:tc>
      </w:tr>
      <w:tr>
        <w:trPr>
          <w:tblHeader w:val="0"/>
          <w:cantSplit w:val="0"/>
          <w:trHeight w:val="0" w:hRule="auto"/>
          <w:trPrChange w:id="34"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5"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LooksAlivePollInterval</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6"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Jak często (w ms) klaster wykonuje szybki test LooksAlive (czy usługa sqlservr.exe działa).</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7"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5000 ms (5s)</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38"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5000 ms</w:t>
            </w:r>
          </w:p>
        </w:tc>
      </w:tr>
      <w:tr>
        <w:trPr>
          <w:tblHeader w:val="0"/>
          <w:cantSplit w:val="0"/>
          <w:trHeight w:val="0" w:hRule="auto"/>
          <w:trPrChange w:id="39"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0"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IsAlivePollInterval</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1"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Jak często (w ms) klaster wykonuje głęboki test IsAlive (czy można wykonać SELECT @@SERVERNAME).</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2"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60000 ms (60s)</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3"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60000 ms</w:t>
            </w:r>
          </w:p>
        </w:tc>
      </w:tr>
      <w:tr>
        <w:trPr>
          <w:tblHeader w:val="0"/>
          <w:cantSplit w:val="0"/>
          <w:trHeight w:val="0" w:hRule="auto"/>
          <w:trPrChange w:id="44"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5"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PendingTimeout</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6"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Jak długo (w ms) klaster będzie czekał na przejście zasobu w stan Online lub Offline (np. podczas Move Role) zanim uzna to za awarię.</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7"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180000 ms (3 min)</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48"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600000 ms (10 min)</w:t>
            </w:r>
          </w:p>
        </w:tc>
      </w:tr>
      <w:tr>
        <w:trPr>
          <w:tblHeader w:val="0"/>
          <w:cantSplit w:val="0"/>
          <w:trHeight w:val="0" w:hRule="auto"/>
          <w:trPrChange w:id="49"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0"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FailureConditionLevel</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1"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Poziom "wrażliwości" SQL na własne błędy wewnętrzne (0=brak reakcji, 5=bardzo wrażliwy).</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2"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3</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3"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3</w:t>
            </w:r>
            <w:r>
              <w:rPr>
                <w:rFonts w:ascii="Google Sans Text" w:hAnsi="Google Sans Text" w:eastAsia="Google Sans Text" w:cs="Google Sans Text"/>
                <w:color w:val="1b1c1d"/>
              </w:rPr>
              <w:t xml:space="preserve"> (złoty środek)</w:t>
            </w:r>
          </w:p>
        </w:tc>
      </w:tr>
      <w:tr>
        <w:trPr>
          <w:tblHeader w:val="0"/>
          <w:cantSplit w:val="0"/>
          <w:trHeight w:val="0" w:hRule="auto"/>
          <w:trPrChange w:id="54"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5"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RestartThreshold</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6"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Ile razy klaster spróbuje zrestartować zasób na tym samym węźle (po awarii) w danym okresie czasu, zanim zainicjuje failover.</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7"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58"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1 lub 2</w:t>
            </w:r>
          </w:p>
        </w:tc>
      </w:tr>
      <w:tr>
        <w:trPr>
          <w:tblHeader w:val="0"/>
          <w:cantSplit w:val="0"/>
          <w:trHeight w:val="0" w:hRule="auto"/>
          <w:trPrChange w:id="59" w:author="Nieznany" w:date="1970-01-01T01:00:00Z" w:revision="0">
            <w:trPr>
              <w:tblHeader w:val="0"/>
              <w:cantSplit w:val="0"/>
              <w:trHeight w:val="0" w:hRule="auto"/>
            </w:trPr>
          </w:trPrChange>
        </w:trPr>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60"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HealthCheckTimeout</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61"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Timeout (w ms) dla samego zapytania IsAlive (SELECT @@SERVERNAME).</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62"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30000 ms (30s)</w:t>
            </w:r>
          </w:p>
        </w:tc>
        <w:tc>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63" w:author="Nieznany" w:date="1970-01-01T01:00:00Z" w:revision="0">
              <w:tcPr>
                <w:tcW w:w="234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60000 ms (60s)</w:t>
            </w:r>
          </w:p>
        </w:tc>
      </w:tr>
    </w:tbl>
    <w:p>
      <w:pPr>
        <w:spacing w:before="48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pStyle w:val="para4"/>
        <w:spacing w:before="0" w:after="120" w:line="276" w:lineRule="auto"/>
        <w:rPr>
          <w:rFonts w:ascii="Google Sans" w:hAnsi="Google Sans" w:eastAsia="Google Sans" w:cs="Google Sans"/>
          <w:color w:val="1b1c1d"/>
        </w:rPr>
      </w:pPr>
      <w:r>
        <w:rPr>
          <w:rFonts w:ascii="Google Sans" w:hAnsi="Google Sans" w:eastAsia="Google Sans" w:cs="Google Sans"/>
          <w:color w:val="1b1c1d"/>
        </w:rPr>
        <w:t>Pozostałe Rekomendacje</w:t>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numPr>
          <w:ilvl w:val="0"/>
          <w:numId w:val="8"/>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Wykluczenia Antywirusowe:</w:t>
      </w:r>
      <w:r>
        <w:rPr>
          <w:rFonts w:ascii="Google Sans Text" w:hAnsi="Google Sans Text" w:eastAsia="Google Sans Text" w:cs="Google Sans Text"/>
          <w:color w:val="1b1c1d"/>
        </w:rPr>
        <w:t xml:space="preserve"> Bezwzględnie wyklucz proces sqlservr.exe oraz wszystkie katalogi z plikami .mdf, .ldf, .ndf, logami błędów i backupami.</w:t>
      </w:r>
      <w:r/>
    </w:p>
    <w:p>
      <w:pPr>
        <w:numPr>
          <w:ilvl w:val="0"/>
          <w:numId w:val="8"/>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Plan Zasilania Windows:</w:t>
      </w:r>
      <w:r>
        <w:rPr>
          <w:rFonts w:ascii="Google Sans Text" w:hAnsi="Google Sans Text" w:eastAsia="Google Sans Text" w:cs="Google Sans Text"/>
          <w:color w:val="1b1c1d"/>
        </w:rPr>
        <w:t xml:space="preserve"> Ustaw na </w:t>
      </w:r>
      <w:r>
        <w:rPr>
          <w:rFonts w:ascii="Google Sans Text" w:hAnsi="Google Sans Text" w:eastAsia="Google Sans Text" w:cs="Google Sans Text"/>
          <w:b/>
          <w:color w:val="1b1c1d"/>
        </w:rPr>
        <w:t>"Wysoka wydajność"</w:t>
      </w:r>
      <w:r>
        <w:rPr>
          <w:rFonts w:ascii="Google Sans Text" w:hAnsi="Google Sans Text" w:eastAsia="Google Sans Text" w:cs="Google Sans Text"/>
          <w:color w:val="1b1c1d"/>
        </w:rPr>
        <w:t xml:space="preserve"> na obu węzłach, aby uniknąć throttlingu CPU.</w:t>
      </w:r>
      <w:r/>
    </w:p>
    <w:p>
      <w:pPr>
        <w:numPr>
          <w:ilvl w:val="0"/>
          <w:numId w:val="8"/>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Środowiska Wirtualne (VM):</w:t>
      </w:r>
      <w:r/>
    </w:p>
    <w:p>
      <w:pPr>
        <w:numPr>
          <w:ilvl w:val="1"/>
          <w:numId w:val="9"/>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Reguły Anty-Afinity:</w:t>
      </w:r>
      <w:r>
        <w:rPr>
          <w:rFonts w:ascii="Google Sans Text" w:hAnsi="Google Sans Text" w:eastAsia="Google Sans Text" w:cs="Google Sans Text"/>
          <w:color w:val="1b1c1d"/>
        </w:rPr>
        <w:t xml:space="preserve"> Obowiązkowo skonfiguruj na poziomie hiperwizora, aby węzły klastra nigdy nie działały na tym samym hoście fizycznym.</w:t>
      </w:r>
      <w:r/>
    </w:p>
    <w:p>
      <w:pPr>
        <w:numPr>
          <w:ilvl w:val="1"/>
          <w:numId w:val="9"/>
        </w:numPr>
        <w:ind w:left="88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vMotion / Live Migration:</w:t>
      </w:r>
      <w:r>
        <w:rPr>
          <w:rFonts w:ascii="Google Sans Text" w:hAnsi="Google Sans Text" w:eastAsia="Google Sans Text" w:cs="Google Sans Text"/>
          <w:color w:val="1b1c1d"/>
        </w:rPr>
        <w:t xml:space="preserve"> Zawsze najpierw ręcznie przenieś rolę SQL (Move Role) na drugi węzeł, zanim zaczniesz migrować węzeł, który stał się pasywny.</w:t>
      </w:r>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5" style="width:0.00pt;height:1.50pt" o:hr="t" o:hrpct="1000" o:hralign="center" o:hrstd="t" fillcolor="#a0a0a0" stroked="f"/>
        </w:pict>
      </w:r>
      <w:r/>
      <w:r>
        <w:rPr>
          <w:rFonts w:ascii="Google Sans Text" w:hAnsi="Google Sans Text" w:eastAsia="Google Sans Text" w:cs="Google Sans Text"/>
          <w:color w:val="1b1c1d"/>
        </w:rPr>
      </w:r>
    </w:p>
    <w:p>
      <w:pPr>
        <w:pStyle w:val="para1"/>
      </w:pPr>
      <w:r>
        <w:t>10. Biblioteki DLL i rejestr klastra</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Integracja SQL z klastrem odbywa się przez biblioteki systemowe i wpisy w rejestrze. Każdy zasób SQL ma własny wpis GUID w HKEY_LOCAL_MACHINE\Cluster\Resources. Poniżej znajdują się kluczowe biblioteki DLL pośredniczące w komunikacji:</w:t>
      </w:r>
    </w:p>
    <w:tbl>
      <w:tblPr>
        <w:tblStyle w:val=""/>
        <w:name w:val="Tabela13"/>
        <w:tabOrder w:val="0"/>
        <w:jc w:val="left"/>
        <w:tblInd w:w="0" w:type="dxa"/>
        <w:tblW w:w="9360" w:type="dxa"/>
        <w:tblLook w:val="0600" w:firstRow="0" w:lastRow="0" w:firstColumn="0" w:lastColumn="0" w:noHBand="1" w:noVBand="1"/>
        <w:tblPrChange w:id="64" w:author="Nieznany" w:date="1970-01-01T01:00:00Z" w:revision="0">
          <w:tblPr>
            <w:name w:val="Tabela13"/>
            <w:tabOrder w:val="0"/>
            <w:jc w:val="left"/>
            <w:tblInd w:w="0" w:type="dxa"/>
            <w:tblW w:w="0" w:type="dxa"/>
          </w:tblPr>
        </w:tblPrChange>
      </w:tblPr>
      <w:tblGrid>
        <w:gridCol w:w="4680"/>
        <w:gridCol w:w="4680"/>
        <w:tblGridChange w:id="65" w:author="Nieznany" w:date="1970-01-01T01:00:00Z" w:revision="0">
          <w:tblGrid>
            <w:gridCol w:w="4680"/>
            <w:gridCol w:w="4680"/>
          </w:tblGrid>
        </w:tblGridChange>
      </w:tblGrid>
      <w:tr>
        <w:trPr>
          <w:tblHeader w:val="0"/>
          <w:cantSplit w:val="0"/>
          <w:trHeight w:val="0" w:hRule="auto"/>
          <w:trPrChange w:id="66" w:author="Nieznany" w:date="1970-01-01T01:00:00Z" w:revision="0">
            <w:trPr>
              <w:tblHeader w:val="0"/>
              <w:cantSplit w:val="0"/>
              <w:trHeight w:val="0" w:hRule="auto"/>
            </w:trPr>
          </w:trPrChange>
        </w:trPr>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67"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Biblioteka (DLL)</w:t>
            </w:r>
          </w:p>
        </w:tc>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68"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Rola / Przeznaczenie</w:t>
            </w:r>
          </w:p>
        </w:tc>
      </w:tr>
      <w:tr>
        <w:trPr>
          <w:tblHeader w:val="0"/>
          <w:cantSplit w:val="0"/>
          <w:trHeight w:val="0" w:hRule="auto"/>
          <w:trPrChange w:id="69" w:author="Nieznany" w:date="1970-01-01T01:00:00Z" w:revision="0">
            <w:trPr>
              <w:tblHeader w:val="0"/>
              <w:cantSplit w:val="0"/>
              <w:trHeight w:val="0" w:hRule="auto"/>
            </w:trPr>
          </w:trPrChange>
        </w:trPr>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70"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hadrres.dll</w:t>
            </w:r>
          </w:p>
        </w:tc>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71"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Specyficzna dla SQL Server.</w:t>
            </w:r>
            <w:r>
              <w:rPr>
                <w:rFonts w:ascii="Google Sans Text" w:hAnsi="Google Sans Text" w:eastAsia="Google Sans Text" w:cs="Google Sans Text"/>
                <w:color w:val="1b1c1d"/>
              </w:rPr>
              <w:t xml:space="preserve"> To "tłumacz", który odbiera od klastra polecenia (Online, Offline, LooksAlive, IsAlive) i wykonuje odpowiednie akcje na instancji SQL.</w:t>
            </w:r>
          </w:p>
        </w:tc>
      </w:tr>
      <w:tr>
        <w:trPr>
          <w:tblHeader w:val="0"/>
          <w:cantSplit w:val="0"/>
          <w:trHeight w:val="0" w:hRule="auto"/>
          <w:trPrChange w:id="72" w:author="Nieznany" w:date="1970-01-01T01:00:00Z" w:revision="0">
            <w:trPr>
              <w:tblHeader w:val="0"/>
              <w:cantSplit w:val="0"/>
              <w:trHeight w:val="0" w:hRule="auto"/>
            </w:trPr>
          </w:trPrChange>
        </w:trPr>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73"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clusres.dll</w:t>
            </w:r>
          </w:p>
        </w:tc>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74"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Biblioteka zasobów klastra.</w:t>
            </w:r>
            <w:r>
              <w:rPr>
                <w:rFonts w:ascii="Google Sans Text" w:hAnsi="Google Sans Text" w:eastAsia="Google Sans Text" w:cs="Google Sans Text"/>
                <w:color w:val="1b1c1d"/>
              </w:rPr>
              <w:t xml:space="preserve"> Obsługuje podstawowe typy zasobów, takie jak Adres IP, Nazwa Sieciowa czy Dysk Fizyczny.</w:t>
            </w:r>
          </w:p>
        </w:tc>
      </w:tr>
      <w:tr>
        <w:trPr>
          <w:tblHeader w:val="0"/>
          <w:cantSplit w:val="0"/>
          <w:trHeight w:val="0" w:hRule="auto"/>
          <w:trPrChange w:id="75" w:author="Nieznany" w:date="1970-01-01T01:00:00Z" w:revision="0">
            <w:trPr>
              <w:tblHeader w:val="0"/>
              <w:cantSplit w:val="0"/>
              <w:trHeight w:val="0" w:hRule="auto"/>
            </w:trPr>
          </w:trPrChange>
        </w:trPr>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76"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resutils.dll</w:t>
            </w:r>
          </w:p>
        </w:tc>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77"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Biblioteka pomocnicza (Utilities).</w:t>
            </w:r>
            <w:r>
              <w:rPr>
                <w:rFonts w:ascii="Google Sans Text" w:hAnsi="Google Sans Text" w:eastAsia="Google Sans Text" w:cs="Google Sans Text"/>
                <w:color w:val="1b1c1d"/>
              </w:rPr>
              <w:t xml:space="preserve"> Zapewnia wspólne funkcje, z których korzystają inne biblioteki zasobów (jak hadrres.dll), aby komunikować się z menedżerem klastra.</w:t>
            </w:r>
          </w:p>
        </w:tc>
      </w:tr>
      <w:tr>
        <w:trPr>
          <w:tblHeader w:val="0"/>
          <w:cantSplit w:val="0"/>
          <w:trHeight w:val="0" w:hRule="auto"/>
          <w:trPrChange w:id="78" w:author="Nieznany" w:date="1970-01-01T01:00:00Z" w:revision="0">
            <w:trPr>
              <w:tblHeader w:val="0"/>
              <w:cantSplit w:val="0"/>
              <w:trHeight w:val="0" w:hRule="auto"/>
            </w:trPr>
          </w:trPrChange>
        </w:trPr>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79"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t>clusapi.dll</w:t>
            </w:r>
          </w:p>
        </w:tc>
        <w:tc>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1980613" protected="0"/>
            <w:tcPrChange w:id="80" w:author="Nieznany" w:date="1970-01-01T01:00:00Z" w:revision="0">
              <w:tcPr>
                <w:tcW w:w="4680" w:type="dxa"/>
                <w:shd w:val="solid" w:color="F8FAFD" tmshd="1677721856, 0, 16644856"/>
                <w:tcMar>
                  <w:top w:w="120" w:type="dxa"/>
                  <w:left w:w="180" w:type="dxa"/>
                  <w:bottom w:w="120" w:type="dxa"/>
                  <w:right w:w="18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61980613" protected="0"/>
              </w:tcPr>
            </w:tcPrChange>
          </w:tcPr>
          <w:p>
            <w:pPr>
              <w:spacing w:before="12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b/>
                <w:color w:val="1b1c1d"/>
              </w:rPr>
              <w:t>Cluster API.</w:t>
            </w:r>
            <w:r>
              <w:rPr>
                <w:rFonts w:ascii="Google Sans Text" w:hAnsi="Google Sans Text" w:eastAsia="Google Sans Text" w:cs="Google Sans Text"/>
                <w:color w:val="1b1c1d"/>
              </w:rPr>
              <w:t xml:space="preserve"> To główny interfejs programistyczny (API) używany przez aplikacje (np. Failover Cluster Manager, PowerShell) do zarządzania i monitorowania klastra.</w:t>
            </w:r>
          </w:p>
        </w:tc>
      </w:tr>
    </w:tbl>
    <w:p>
      <w:pPr>
        <w:spacing w:before="48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Parametry zasobu, takie jak InstanceName, SQLDataRoot, VirtualServerName, są przechowywane w kluczu Parameters dla danego GUID w rejestrze. Dzięki temu klaster wie, jak uruchomić proces sqlservr.exe i jakie dyski podmontować.</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„Wysoka dostępność to nie magia – to seria dobrze wychowanych bibliotek DLL, które po prostu wiedzą, kiedy ze sobą rozmawiać.”</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6" style="width:0.00pt;height:1.50pt" o:hr="t" o:hrpct="1000" o:hralign="center" o:hrstd="t" fillcolor="#a0a0a0" stroked="f"/>
        </w:pict>
      </w:r>
      <w:r/>
      <w:r>
        <w:rPr>
          <w:rFonts w:ascii="Google Sans Text" w:hAnsi="Google Sans Text" w:eastAsia="Google Sans Text" w:cs="Google Sans Text"/>
          <w:color w:val="1b1c1d"/>
        </w:rPr>
      </w:r>
    </w:p>
    <w:p>
      <w:pPr>
        <w:pStyle w:val="para1"/>
      </w:pPr>
      <w:r>
        <w:t>11. Procedury Aktualizacji (Patching)</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Posiadanie klastra wymusza określoną procedurę konserwacji, aby zachować wysoką dostępność. Jest to tzw. "aktualizacja krocząca" (rolling update). Zasadą jest zawsze aktualizowanie najpierw węzła pasywnego.</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pStyle w:val="para4"/>
        <w:spacing w:before="0" w:after="120" w:line="276" w:lineRule="auto"/>
        <w:rPr>
          <w:rFonts w:ascii="Google Sans" w:hAnsi="Google Sans" w:eastAsia="Google Sans" w:cs="Google Sans"/>
          <w:color w:val="1b1c1d"/>
        </w:rPr>
      </w:pPr>
      <w:r>
        <w:rPr>
          <w:rFonts w:ascii="Google Sans" w:hAnsi="Google Sans" w:eastAsia="Google Sans" w:cs="Google Sans"/>
          <w:color w:val="1b1c1d"/>
        </w:rPr>
        <w:t>Aktualizacja Systemu Operacyjnego (Windows Server)</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Ta procedura wiąże się z restartami węzłów, dlatego kluczowe jest użycie funkcji Pause, aby zapobiec próbom przełączenia awaryjnego na restartujący się węzeł.</w:t>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i/>
          <w:color w:val="1b1c1d"/>
        </w:rPr>
      </w:pPr>
      <w:r>
        <w:rPr>
          <w:rFonts w:ascii="Google Sans Text" w:hAnsi="Google Sans Text" w:eastAsia="Google Sans Text" w:cs="Google Sans Text"/>
          <w:i/>
          <w:color w:val="1b1c1d"/>
        </w:rPr>
        <w:t>(Zakładamy, że Węzeł A jest AKTYWNY, a Węzeł B jest PASYWNY)</w:t>
      </w:r>
    </w:p>
    <w:p>
      <w:pPr>
        <w:numPr>
          <w:ilvl w:val="0"/>
          <w:numId w:val="10"/>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Węzeł B (Pasywny):</w:t>
      </w:r>
      <w:r>
        <w:rPr>
          <w:rFonts w:ascii="Google Sans Text" w:hAnsi="Google Sans Text" w:eastAsia="Google Sans Text" w:cs="Google Sans Text"/>
          <w:color w:val="1b1c1d"/>
        </w:rPr>
        <w:t xml:space="preserve"> Otwórz Failover Cluster Manager, kliknij prawym przyciskiem na </w:t>
      </w:r>
      <w:r>
        <w:rPr>
          <w:rFonts w:ascii="Google Sans Text" w:hAnsi="Google Sans Text" w:eastAsia="Google Sans Text" w:cs="Google Sans Text"/>
          <w:b/>
          <w:color w:val="1b1c1d"/>
        </w:rPr>
        <w:t>Węźle B</w:t>
      </w:r>
      <w:r>
        <w:rPr>
          <w:rFonts w:ascii="Google Sans Text" w:hAnsi="Google Sans Text" w:eastAsia="Google Sans Text" w:cs="Google Sans Text"/>
          <w:color w:val="1b1c1d"/>
        </w:rPr>
        <w:t xml:space="preserve"> i wybierz Pause $\rightarrow$ Do not drain roles.</w:t>
      </w:r>
      <w:r/>
    </w:p>
    <w:p>
      <w:pPr>
        <w:numPr>
          <w:ilvl w:val="0"/>
          <w:numId w:val="10"/>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Zainstaluj aktualizacje Windows na </w:t>
      </w:r>
      <w:r>
        <w:rPr>
          <w:rFonts w:ascii="Google Sans Text" w:hAnsi="Google Sans Text" w:eastAsia="Google Sans Text" w:cs="Google Sans Text"/>
          <w:b/>
          <w:color w:val="1b1c1d"/>
        </w:rPr>
        <w:t>Węźle B</w:t>
      </w:r>
      <w:r>
        <w:rPr>
          <w:rFonts w:ascii="Google Sans Text" w:hAnsi="Google Sans Text" w:eastAsia="Google Sans Text" w:cs="Google Sans Text"/>
          <w:color w:val="1b1c1d"/>
        </w:rPr>
        <w:t xml:space="preserve"> i zrestartuj go (jeśli wymagane).</w:t>
      </w:r>
      <w:r/>
    </w:p>
    <w:p>
      <w:pPr>
        <w:numPr>
          <w:ilvl w:val="0"/>
          <w:numId w:val="10"/>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Po ponownym uruchomieniu, kliknij prawym przyciskiem na </w:t>
      </w:r>
      <w:r>
        <w:rPr>
          <w:rFonts w:ascii="Google Sans Text" w:hAnsi="Google Sans Text" w:eastAsia="Google Sans Text" w:cs="Google Sans Text"/>
          <w:b/>
          <w:color w:val="1b1c1d"/>
        </w:rPr>
        <w:t>Węźle B</w:t>
      </w:r>
      <w:r>
        <w:rPr>
          <w:rFonts w:ascii="Google Sans Text" w:hAnsi="Google Sans Text" w:eastAsia="Google Sans Text" w:cs="Google Sans Text"/>
          <w:color w:val="1b1c1d"/>
        </w:rPr>
        <w:t xml:space="preserve"> i wybierz Resume.</w:t>
      </w:r>
      <w:r/>
    </w:p>
    <w:p>
      <w:pPr>
        <w:numPr>
          <w:ilvl w:val="0"/>
          <w:numId w:val="10"/>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Przełączenie (Failover):</w:t>
      </w:r>
      <w:r>
        <w:rPr>
          <w:rFonts w:ascii="Google Sans Text" w:hAnsi="Google Sans Text" w:eastAsia="Google Sans Text" w:cs="Google Sans Text"/>
          <w:color w:val="1b1c1d"/>
        </w:rPr>
        <w:t xml:space="preserve"> Przenieś rolę SQL FCI na </w:t>
      </w:r>
      <w:r>
        <w:rPr>
          <w:rFonts w:ascii="Google Sans Text" w:hAnsi="Google Sans Text" w:eastAsia="Google Sans Text" w:cs="Google Sans Text"/>
          <w:b/>
          <w:color w:val="1b1c1d"/>
        </w:rPr>
        <w:t>Węzeł B</w:t>
      </w:r>
      <w:r>
        <w:rPr>
          <w:rFonts w:ascii="Google Sans Text" w:hAnsi="Google Sans Text" w:eastAsia="Google Sans Text" w:cs="Google Sans Text"/>
          <w:color w:val="1b1c1d"/>
        </w:rPr>
        <w:t>.</w:t>
      </w:r>
      <w:r/>
    </w:p>
    <w:p>
      <w:pPr>
        <w:numPr>
          <w:ilvl w:val="0"/>
          <w:numId w:val="10"/>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Poczekaj, aż SQL Server będzie w pełni Online na </w:t>
      </w:r>
      <w:r>
        <w:rPr>
          <w:rFonts w:ascii="Google Sans Text" w:hAnsi="Google Sans Text" w:eastAsia="Google Sans Text" w:cs="Google Sans Text"/>
          <w:b/>
          <w:color w:val="1b1c1d"/>
        </w:rPr>
        <w:t>Węźle B</w:t>
      </w:r>
      <w:r>
        <w:rPr>
          <w:rFonts w:ascii="Google Sans Text" w:hAnsi="Google Sans Text" w:eastAsia="Google Sans Text" w:cs="Google Sans Text"/>
          <w:color w:val="1b1c1d"/>
        </w:rPr>
        <w:t>.</w:t>
      </w:r>
      <w:r/>
    </w:p>
    <w:p>
      <w:pPr>
        <w:numPr>
          <w:ilvl w:val="0"/>
          <w:numId w:val="10"/>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Węzeł A (Pasywny):</w:t>
      </w:r>
      <w:r>
        <w:rPr>
          <w:rFonts w:ascii="Google Sans Text" w:hAnsi="Google Sans Text" w:eastAsia="Google Sans Text" w:cs="Google Sans Text"/>
          <w:color w:val="1b1c1d"/>
        </w:rPr>
        <w:t xml:space="preserve"> Powtórz kroki 1-3 dla </w:t>
      </w:r>
      <w:r>
        <w:rPr>
          <w:rFonts w:ascii="Google Sans Text" w:hAnsi="Google Sans Text" w:eastAsia="Google Sans Text" w:cs="Google Sans Text"/>
          <w:b/>
          <w:color w:val="1b1c1d"/>
        </w:rPr>
        <w:t>Węzła A</w:t>
      </w:r>
      <w:r>
        <w:rPr>
          <w:rFonts w:ascii="Google Sans Text" w:hAnsi="Google Sans Text" w:eastAsia="Google Sans Text" w:cs="Google Sans Text"/>
          <w:color w:val="1b1c1d"/>
        </w:rPr>
        <w:t xml:space="preserve"> (Pause $\rightarrow$ Patch $\rightarrow$ Restart $\rightarrow$ Resume).</w:t>
      </w:r>
      <w:r/>
    </w:p>
    <w:p>
      <w:pPr>
        <w:numPr>
          <w:ilvl w:val="0"/>
          <w:numId w:val="10"/>
        </w:numPr>
        <w:ind w:left="480"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(Opcjonalnie) Przenieś rolę SQL Server z powrotem na Węzeł A.</w:t>
      </w:r>
      <w:r/>
    </w:p>
    <w:p>
      <w:pPr>
        <w:spacing w:before="24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pStyle w:val="para4"/>
        <w:spacing w:before="0" w:after="120" w:line="276" w:lineRule="auto"/>
        <w:rPr>
          <w:rFonts w:ascii="Google Sans" w:hAnsi="Google Sans" w:eastAsia="Google Sans" w:cs="Google Sans"/>
          <w:color w:val="1b1c1d"/>
        </w:rPr>
      </w:pPr>
      <w:r>
        <w:rPr>
          <w:rFonts w:ascii="Google Sans" w:hAnsi="Google Sans" w:eastAsia="Google Sans" w:cs="Google Sans"/>
          <w:color w:val="1b1c1d"/>
        </w:rPr>
        <w:t>Aktualizacja SQL Server (Cumulative Updates / Service Packs)</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Instalator SQL Server jest "świadomy klastra" (cluster-aware).</w:t>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i/>
          <w:color w:val="1b1c1d"/>
        </w:rPr>
      </w:pPr>
      <w:r>
        <w:rPr>
          <w:rFonts w:ascii="Google Sans Text" w:hAnsi="Google Sans Text" w:eastAsia="Google Sans Text" w:cs="Google Sans Text"/>
          <w:i/>
          <w:color w:val="1b1c1d"/>
        </w:rPr>
        <w:t>(Zakładamy, że Węzeł A jest AKTYWNY, a Węzeł B jest PASYWNY)</w:t>
      </w:r>
    </w:p>
    <w:p>
      <w:pPr>
        <w:numPr>
          <w:ilvl w:val="0"/>
          <w:numId w:val="11"/>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Węzeł B (Pasywny):</w:t>
      </w:r>
      <w:r>
        <w:rPr>
          <w:rFonts w:ascii="Google Sans Text" w:hAnsi="Google Sans Text" w:eastAsia="Google Sans Text" w:cs="Google Sans Text"/>
          <w:color w:val="1b1c1d"/>
        </w:rPr>
        <w:t xml:space="preserve"> Uruchom instalator aktualizacji SQL Server (np. CU) na </w:t>
      </w:r>
      <w:r>
        <w:rPr>
          <w:rFonts w:ascii="Google Sans Text" w:hAnsi="Google Sans Text" w:eastAsia="Google Sans Text" w:cs="Google Sans Text"/>
          <w:b/>
          <w:color w:val="1b1c1d"/>
        </w:rPr>
        <w:t>Węźle B</w:t>
      </w:r>
      <w:r>
        <w:rPr>
          <w:rFonts w:ascii="Google Sans Text" w:hAnsi="Google Sans Text" w:eastAsia="Google Sans Text" w:cs="Google Sans Text"/>
          <w:color w:val="1b1c1d"/>
        </w:rPr>
        <w:t>. Zaktualizuje on tylko pliki binarne.</w:t>
      </w:r>
      <w:r/>
    </w:p>
    <w:p>
      <w:pPr>
        <w:numPr>
          <w:ilvl w:val="0"/>
          <w:numId w:val="11"/>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Po zakończeniu, </w:t>
      </w:r>
      <w:r>
        <w:rPr>
          <w:rFonts w:ascii="Google Sans Text" w:hAnsi="Google Sans Text" w:eastAsia="Google Sans Text" w:cs="Google Sans Text"/>
          <w:b/>
          <w:color w:val="1b1c1d"/>
        </w:rPr>
        <w:t>wykonaj przełączenie (Failover)</w:t>
      </w:r>
      <w:r>
        <w:rPr>
          <w:rFonts w:ascii="Google Sans Text" w:hAnsi="Google Sans Text" w:eastAsia="Google Sans Text" w:cs="Google Sans Text"/>
          <w:color w:val="1b1c1d"/>
        </w:rPr>
        <w:t xml:space="preserve">. Przenieś rolę SQL Server na </w:t>
      </w:r>
      <w:r>
        <w:rPr>
          <w:rFonts w:ascii="Google Sans Text" w:hAnsi="Google Sans Text" w:eastAsia="Google Sans Text" w:cs="Google Sans Text"/>
          <w:b/>
          <w:color w:val="1b1c1d"/>
        </w:rPr>
        <w:t>Węzeł B</w:t>
      </w:r>
      <w:r>
        <w:rPr>
          <w:rFonts w:ascii="Google Sans Text" w:hAnsi="Google Sans Text" w:eastAsia="Google Sans Text" w:cs="Google Sans Text"/>
          <w:color w:val="1b1c1d"/>
        </w:rPr>
        <w:t>.</w:t>
      </w:r>
      <w:r/>
    </w:p>
    <w:p>
      <w:pPr>
        <w:numPr>
          <w:ilvl w:val="0"/>
          <w:numId w:val="11"/>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Usługa SQL Server uruchomi się teraz na </w:t>
      </w:r>
      <w:r>
        <w:rPr>
          <w:rFonts w:ascii="Google Sans Text" w:hAnsi="Google Sans Text" w:eastAsia="Google Sans Text" w:cs="Google Sans Text"/>
          <w:b/>
          <w:color w:val="1b1c1d"/>
        </w:rPr>
        <w:t>Węźle B</w:t>
      </w:r>
      <w:r>
        <w:rPr>
          <w:rFonts w:ascii="Google Sans Text" w:hAnsi="Google Sans Text" w:eastAsia="Google Sans Text" w:cs="Google Sans Text"/>
          <w:color w:val="1b1c1d"/>
        </w:rPr>
        <w:t>, używając już zaktualizowanych plików binarnych.</w:t>
      </w:r>
      <w:r/>
    </w:p>
    <w:p>
      <w:pPr>
        <w:numPr>
          <w:ilvl w:val="0"/>
          <w:numId w:val="11"/>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Węzeł A (Pasywny):</w:t>
      </w:r>
      <w:r>
        <w:rPr>
          <w:rFonts w:ascii="Google Sans Text" w:hAnsi="Google Sans Text" w:eastAsia="Google Sans Text" w:cs="Google Sans Text"/>
          <w:color w:val="1b1c1d"/>
        </w:rPr>
        <w:t xml:space="preserve"> Uruchom ten sam instalator aktualizacji SQL Server na </w:t>
      </w:r>
      <w:r>
        <w:rPr>
          <w:rFonts w:ascii="Google Sans Text" w:hAnsi="Google Sans Text" w:eastAsia="Google Sans Text" w:cs="Google Sans Text"/>
          <w:b/>
          <w:color w:val="1b1c1d"/>
        </w:rPr>
        <w:t>Węźle A</w:t>
      </w:r>
      <w:r>
        <w:rPr>
          <w:rFonts w:ascii="Google Sans Text" w:hAnsi="Google Sans Text" w:eastAsia="Google Sans Text" w:cs="Google Sans Text"/>
          <w:color w:val="1b1c1d"/>
        </w:rPr>
        <w:t>.</w:t>
      </w:r>
      <w:r/>
    </w:p>
    <w:p>
      <w:pPr>
        <w:numPr>
          <w:ilvl w:val="0"/>
          <w:numId w:val="11"/>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Ważny moment:</w:t>
      </w:r>
      <w:r>
        <w:rPr>
          <w:rFonts w:ascii="Google Sans Text" w:hAnsi="Google Sans Text" w:eastAsia="Google Sans Text" w:cs="Google Sans Text"/>
          <w:color w:val="1b1c1d"/>
        </w:rPr>
        <w:t xml:space="preserve"> Instalator wykryje, że jest to ostatni węzeł i uruchomi skrypty aktualizujące bazy systemowe (np. master, msdb), finalizując proces.</w:t>
      </w:r>
      <w:r/>
    </w:p>
    <w:p>
      <w:pPr>
        <w:numPr>
          <w:ilvl w:val="0"/>
          <w:numId w:val="11"/>
        </w:numPr>
        <w:ind w:left="480"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(Opcjonalnie) Przenieś rolę z powrotem na Węzeł A.</w:t>
      </w:r>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7" style="width:0.00pt;height:1.50pt" o:hr="t" o:hrpct="1000" o:hralign="center" o:hrstd="t" fillcolor="#a0a0a0" stroked="f"/>
        </w:pict>
      </w:r>
      <w:r/>
      <w:r>
        <w:rPr>
          <w:rFonts w:ascii="Google Sans Text" w:hAnsi="Google Sans Text" w:eastAsia="Google Sans Text" w:cs="Google Sans Text"/>
          <w:color w:val="1b1c1d"/>
        </w:rPr>
      </w:r>
    </w:p>
    <w:p>
      <w:pPr>
        <w:pStyle w:val="para1"/>
      </w:pPr>
      <w:r>
        <w:t>12. Diagnostyka (Gdzie szukać pomocy?)</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Gdy coś pójdzie nie tak, a zasób SQL przejdzie w stan 'Failed', nie panikuj. Analizę problemu należy zacząć od tych czterech miejsc, w tej kolejności:</w:t>
      </w:r>
    </w:p>
    <w:p>
      <w:pPr>
        <w:numPr>
          <w:ilvl w:val="0"/>
          <w:numId w:val="12"/>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Menedżer Klastra Awaryjnego (Failover Cluster Manager):</w:t>
      </w:r>
      <w:r/>
    </w:p>
    <w:p>
      <w:pPr>
        <w:numPr>
          <w:ilvl w:val="1"/>
          <w:numId w:val="13"/>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Pierwsze miejsce, w które patrzysz. Daje szybki, wizualny przegląd, który zasób zawiódł (np. Dysk, IP, czy sam SQL Server).</w:t>
      </w:r>
      <w:r/>
    </w:p>
    <w:p>
      <w:pPr>
        <w:numPr>
          <w:ilvl w:val="1"/>
          <w:numId w:val="13"/>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W dolnej części okna, w zakładce "Cluster Events" (Zdarzenia Klastra), znajdziesz ogólne informacje o tym, co się stało.</w:t>
      </w:r>
      <w:r/>
    </w:p>
    <w:p>
      <w:pPr>
        <w:numPr>
          <w:ilvl w:val="0"/>
          <w:numId w:val="12"/>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Log Klastra (PowerShell: Get-ClusterLog):</w:t>
      </w:r>
      <w:r/>
    </w:p>
    <w:p>
      <w:pPr>
        <w:numPr>
          <w:ilvl w:val="1"/>
          <w:numId w:val="14"/>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 xml:space="preserve">To najważniejsze źródło wiedzy o </w:t>
      </w:r>
      <w:r>
        <w:rPr>
          <w:rFonts w:ascii="Google Sans Text" w:hAnsi="Google Sans Text" w:eastAsia="Google Sans Text" w:cs="Google Sans Text"/>
          <w:b/>
          <w:i/>
          <w:color w:val="1b1c1d"/>
        </w:rPr>
        <w:t>decyzjach</w:t>
      </w:r>
      <w:r>
        <w:rPr>
          <w:rFonts w:ascii="Google Sans Text" w:hAnsi="Google Sans Text" w:eastAsia="Google Sans Text" w:cs="Google Sans Text"/>
          <w:b/>
          <w:color w:val="1b1c1d"/>
        </w:rPr>
        <w:t xml:space="preserve"> klastra.</w:t>
      </w:r>
      <w:r/>
    </w:p>
    <w:p>
      <w:pPr>
        <w:numPr>
          <w:ilvl w:val="1"/>
          <w:numId w:val="14"/>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Użyj polecenia Get-ClusterLog -Destination C:\Temp (na jednym z węzłów), aby wygenerować czytelny plik cluster.log.</w:t>
      </w:r>
      <w:r/>
    </w:p>
    <w:p>
      <w:pPr>
        <w:numPr>
          <w:ilvl w:val="1"/>
          <w:numId w:val="14"/>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 xml:space="preserve">Szukaj w nim nazwy swojego zasobu SQL (np. "SQLPROD") i słów kluczowych jak IsAlive, LooksAlive oraz fail lub failed. To ten log powie Ci </w:t>
      </w:r>
      <w:r>
        <w:rPr>
          <w:rFonts w:ascii="Google Sans Text" w:hAnsi="Google Sans Text" w:eastAsia="Google Sans Text" w:cs="Google Sans Text"/>
          <w:i/>
          <w:color w:val="1b1c1d"/>
        </w:rPr>
        <w:t>dlaczego</w:t>
      </w:r>
      <w:r>
        <w:rPr>
          <w:rFonts w:ascii="Google Sans Text" w:hAnsi="Google Sans Text" w:eastAsia="Google Sans Text" w:cs="Google Sans Text"/>
          <w:color w:val="1b1c1d"/>
        </w:rPr>
        <w:t xml:space="preserve"> klaster uznał, że SQL nie działa (np. "IsAlive returned false").</w:t>
      </w:r>
      <w:r/>
    </w:p>
    <w:p>
      <w:pPr>
        <w:numPr>
          <w:ilvl w:val="0"/>
          <w:numId w:val="12"/>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SQL Server ERRORLOG:</w:t>
      </w:r>
      <w:r/>
    </w:p>
    <w:p>
      <w:pPr>
        <w:numPr>
          <w:ilvl w:val="1"/>
          <w:numId w:val="15"/>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Jeśli cluster.log mówi, że SQL Server nie mógł przejść w stan Online, to ERRORLOG powie Ci dlaczego.</w:t>
      </w:r>
      <w:r/>
    </w:p>
    <w:p>
      <w:pPr>
        <w:numPr>
          <w:ilvl w:val="1"/>
          <w:numId w:val="15"/>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Lokalizacja: C:\Program Files\Microsoft SQL Server\MSSQLXX.INSTANCENAME\MSSQL\Log\ERRORLOG</w:t>
      </w:r>
      <w:r/>
    </w:p>
    <w:p>
      <w:pPr>
        <w:numPr>
          <w:ilvl w:val="1"/>
          <w:numId w:val="15"/>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Szukaj błędów podczas uruchamiania – najczęstsze to problemy z dostępem do dysków, brak możliwości zablokowania plików .mdf/.ldf (bo np. trzyma je antywirus) lub uszkodzenie bazy tempdb.</w:t>
      </w:r>
      <w:r/>
    </w:p>
    <w:p>
      <w:pPr>
        <w:numPr>
          <w:ilvl w:val="0"/>
          <w:numId w:val="12"/>
        </w:numPr>
        <w:ind w:left="480"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Podgląd Zdarzeń Windows (Event Viewer):</w:t>
      </w:r>
      <w:r/>
    </w:p>
    <w:p>
      <w:pPr>
        <w:numPr>
          <w:ilvl w:val="1"/>
          <w:numId w:val="16"/>
        </w:numPr>
        <w:ind w:left="88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Dziennik System:</w:t>
      </w:r>
      <w:r>
        <w:rPr>
          <w:rFonts w:ascii="Google Sans Text" w:hAnsi="Google Sans Text" w:eastAsia="Google Sans Text" w:cs="Google Sans Text"/>
          <w:color w:val="1b1c1d"/>
        </w:rPr>
        <w:t xml:space="preserve"> Sprawdź go pod kątem błędów sprzętowych. Jeśli klaster stracił dysk współdzielony, to właśnie tutaj znajdziesz błędy sterowników, MPIO, iSCSI lub Fibre Channel.</w:t>
      </w:r>
      <w:r/>
    </w:p>
    <w:p>
      <w:pPr>
        <w:numPr>
          <w:ilvl w:val="1"/>
          <w:numId w:val="16"/>
        </w:numPr>
        <w:ind w:left="88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b/>
          <w:color w:val="1b1c1d"/>
        </w:rPr>
        <w:t>Dziennik Application:</w:t>
      </w:r>
      <w:r>
        <w:rPr>
          <w:rFonts w:ascii="Google Sans Text" w:hAnsi="Google Sans Text" w:eastAsia="Google Sans Text" w:cs="Google Sans Text"/>
          <w:color w:val="1b1c1d"/>
        </w:rPr>
        <w:t xml:space="preserve"> Zawiera błędy samego SQL Server, często te same co w ERRORLOG, ale także błędy innych usług.</w:t>
      </w:r>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8" style="width:0.00pt;height:1.50pt" o:hr="t" o:hrpct="1000" o:hralign="center" o:hrstd="t" fillcolor="#a0a0a0" stroked="f"/>
        </w:pict>
      </w:r>
      <w:r/>
      <w:r>
        <w:rPr>
          <w:rFonts w:ascii="Google Sans Text" w:hAnsi="Google Sans Text" w:eastAsia="Google Sans Text" w:cs="Google Sans Text"/>
          <w:color w:val="1b1c1d"/>
        </w:rPr>
      </w:r>
    </w:p>
    <w:p>
      <w:pPr>
        <w:pStyle w:val="para3"/>
        <w:spacing w:before="0" w:after="120" w:line="276" w:lineRule="auto"/>
        <w:rPr>
          <w:rFonts w:ascii="Google Sans" w:hAnsi="Google Sans" w:eastAsia="Google Sans" w:cs="Google Sans"/>
          <w:color w:val="1b1c1d"/>
        </w:rPr>
      </w:pPr>
      <w:r>
        <w:rPr>
          <w:rFonts w:ascii="Google Sans" w:hAnsi="Google Sans" w:eastAsia="Google Sans" w:cs="Google Sans"/>
          <w:color w:val="1b1c1d"/>
        </w:rPr>
        <w:t>13. 離 Mini-Lab: Symulacja failovera krok po kroku</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Celem ćwiczenia jest przetestowanie działania klastra SQL Server FCI w sposób kontrolowany.</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Nie chodzi o „wymuszenie awarii”, lecz o świadome przeprowadzenie cyklu życia instancji w rękach DBA.</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 Scenariusz</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Masz 2-węzłowy klaster (NODE1, NODE2) z instancją SQLCLUSTER01\SQLPROD.</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Aktywny węzeł: NODE1.</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Celem jest sprawdzenie, czy klaster poprawnie przenosi zasoby SQL i zapisuje to w logach.</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 Krok 1 – Zatrzymanie roli (kontrolowane „Offline”)</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Z poziomu PowerShell lub GUI:</w:t>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PowerShell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Pr>
        <w:t>Stop-ClusterGroup</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-Wait</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300</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-Verbose</w:t>
      </w:r>
      <w:r>
        <w:rPr>
          <w:rFonts w:ascii="Google Sans Text" w:hAnsi="Google Sans Text" w:eastAsia="Google Sans Text" w:cs="Google Sans Text"/>
          <w:color w:val="1b1c1d"/>
          <w:shd w:val="clear" w:fill="f0f4f9"/>
        </w:rPr>
        <w:br w:type="textWrapping"/>
      </w:r>
      <w:r>
        <w:rPr>
          <w:rFonts w:ascii="Google Sans Text" w:hAnsi="Google Sans Text" w:eastAsia="Google Sans Text" w:cs="Google Sans Text"/>
          <w:color w:val="1b1c1d"/>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Lub w Failover Cluster Manager:</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PPM → More Actions → Stop Role.</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Obserwuj: Agent $\rightarrow$ SQL Server $\rightarrow$ dyski $\rightarrow$ IP.</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Cel: sprawdzenie, czy SQL wykonuje pełen graceful shutdown (flush logów, checkpointy).</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Czas zamykania przy dużych bazach: 30–180 s.</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„Zatrzymując serwer, uczysz się, jak naprawdę działa. Uruchomić potrafi każdy.” — SQLManiak</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 Krok 2 – Przeniesienie roli (Move)</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Po zatrzymaniu:</w:t>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PowerShell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Pr>
        <w:t>Move-ClusterGroup</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-Node</w:t>
      </w:r>
      <w:r>
        <w:rPr>
          <w:rFonts w:ascii="Google Sans Text" w:hAnsi="Google Sans Text" w:eastAsia="Google Sans Text" w:cs="Google Sans Text"/>
          <w:color w:val="1b1c1d"/>
          <w:shd w:val="clear" w:fill="f0f4f9"/>
        </w:rPr>
        <w:t xml:space="preserve"> NODE2 </w:t>
      </w:r>
      <w:r>
        <w:rPr>
          <w:rFonts w:ascii="Google Sans Text" w:hAnsi="Google Sans Text" w:eastAsia="Google Sans Text" w:cs="Google Sans Text"/>
          <w:color w:val="b55908"/>
          <w:sz w:val="20"/>
          <w:szCs w:val="20"/>
          <w:shd w:val="clear" w:fill="f0f4f9"/>
        </w:rPr>
        <w:t>-Wait</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300</w:t>
      </w:r>
      <w:r>
        <w:rPr>
          <w:rFonts w:ascii="Google Sans Text" w:hAnsi="Google Sans Text" w:eastAsia="Google Sans Text" w:cs="Google Sans Text"/>
          <w:color w:val="1b1c1d"/>
          <w:shd w:val="clear" w:fill="f0f4f9"/>
        </w:rPr>
        <w:br w:type="textWrapping"/>
      </w:r>
      <w:r>
        <w:rPr>
          <w:rFonts w:ascii="Google Sans Text" w:hAnsi="Google Sans Text" w:eastAsia="Google Sans Text" w:cs="Google Sans Text"/>
          <w:color w:val="1b1c1d"/>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Lub GUI:</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Move → Select Node → NODE2</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Cel: przetestowanie logiki WSFC i dostępności zasobów.</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W Event Viewerze zobaczysz:</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[RCM] Moving group 'SQL Server (SQLPROD)' from NODE1 to NODE2.</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[RES] SQL Server: Resource is going online.</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color w:val="1b1c1d"/>
        </w:rPr>
        <w:t xml:space="preserve"> </w:t>
      </w:r>
      <w:r>
        <w:rPr>
          <w:rFonts w:ascii="Google Sans Text" w:hAnsi="Google Sans Text" w:eastAsia="Google Sans Text" w:cs="Google Sans Text"/>
          <w:b/>
          <w:color w:val="1b1c1d"/>
        </w:rPr>
        <w:t>Krok 3 – Uruchomienie roli (Online)</w:t>
      </w:r>
      <w:r>
        <w:rPr>
          <w:rFonts w:ascii="Google Sans Text" w:hAnsi="Google Sans Text" w:eastAsia="Google Sans Text" w:cs="Google Sans Text"/>
          <w:b/>
          <w:color w:val="1b1c1d"/>
        </w:rPr>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PowerShell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Pr>
        <w:t>Start-ClusterGroup</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-Wait</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300</w:t>
      </w:r>
      <w:r>
        <w:rPr>
          <w:rFonts w:ascii="Google Sans Text" w:hAnsi="Google Sans Text" w:eastAsia="Google Sans Text" w:cs="Google Sans Text"/>
          <w:color w:val="1b1c1d"/>
          <w:shd w:val="clear" w:fill="f0f4f9"/>
        </w:rPr>
        <w:br w:type="textWrapping"/>
      </w:r>
      <w:r>
        <w:rPr>
          <w:rFonts w:ascii="Google Sans Text" w:hAnsi="Google Sans Text" w:eastAsia="Google Sans Text" w:cs="Google Sans Text"/>
          <w:color w:val="1b1c1d"/>
          <w:shd w:val="clear" w:fill="f0f4f9"/>
        </w:rPr>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i/>
          <w:color w:val="1b1c1d"/>
        </w:rPr>
      </w:pPr>
      <w:r>
        <w:rPr>
          <w:rFonts w:ascii="Google Sans Text" w:hAnsi="Google Sans Text" w:eastAsia="Google Sans Text" w:cs="Google Sans Text"/>
          <w:i/>
          <w:color w:val="1b1c1d"/>
        </w:rPr>
        <w:t>Obserwuj:</w:t>
      </w:r>
    </w:p>
    <w:p>
      <w:pPr>
        <w:numPr>
          <w:ilvl w:val="0"/>
          <w:numId w:val="17"/>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SQL Server (Online)</w:t>
      </w:r>
      <w:r/>
    </w:p>
    <w:p>
      <w:pPr>
        <w:numPr>
          <w:ilvl w:val="0"/>
          <w:numId w:val="17"/>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SQL Agent (Online)</w:t>
      </w:r>
      <w:r/>
    </w:p>
    <w:p>
      <w:pPr>
        <w:numPr>
          <w:ilvl w:val="0"/>
          <w:numId w:val="17"/>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IP, Network Name (Online)</w:t>
      </w:r>
      <w:r/>
    </w:p>
    <w:p>
      <w:pPr>
        <w:numPr>
          <w:ilvl w:val="0"/>
          <w:numId w:val="17"/>
        </w:numPr>
        <w:ind w:left="46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Disk/CSV (Online)</w:t>
      </w:r>
      <w:r/>
    </w:p>
    <w:p>
      <w:pPr>
        <w:spacing w:before="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Jeśli któryś zasób pozostaje w stanie Pending, sprawdź w Cluster Manager:</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Right-click → Show Critical Events</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color w:val="1b1c1d"/>
        </w:rPr>
        <w:t xml:space="preserve"> </w:t>
      </w:r>
      <w:r>
        <w:rPr>
          <w:rFonts w:ascii="Google Sans Text" w:hAnsi="Google Sans Text" w:eastAsia="Google Sans Text" w:cs="Google Sans Text"/>
          <w:b/>
          <w:color w:val="1b1c1d"/>
        </w:rPr>
        <w:t>Krok 4 – Weryfikacja aktywnego węzła</w:t>
      </w:r>
      <w:r>
        <w:rPr>
          <w:rFonts w:ascii="Google Sans Text" w:hAnsi="Google Sans Text" w:eastAsia="Google Sans Text" w:cs="Google Sans Text"/>
          <w:b/>
          <w:color w:val="1b1c1d"/>
        </w:rPr>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SQL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8430ce"/>
          <w:sz w:val="20"/>
          <w:szCs w:val="20"/>
          <w:shd w:val="clear" w:fill="f0f4f9"/>
        </w:rPr>
        <w:t>SELECT</w:t>
      </w:r>
      <w:r>
        <w:rPr>
          <w:rFonts w:ascii="Google Sans Text" w:hAnsi="Google Sans Text" w:eastAsia="Google Sans Text" w:cs="Google Sans Text"/>
          <w:color w:val="1b1c1d"/>
          <w:shd w:val="clear" w:fill="f0f4f9"/>
        </w:rPr>
        <w:t xml:space="preserve"> SERVERPROPERTY(</w:t>
      </w:r>
      <w:r>
        <w:rPr>
          <w:rFonts w:ascii="Google Sans Text" w:hAnsi="Google Sans Text" w:eastAsia="Google Sans Text" w:cs="Google Sans Text"/>
          <w:color w:val="188038"/>
          <w:sz w:val="20"/>
          <w:szCs w:val="20"/>
          <w:shd w:val="clear" w:fill="f0f4f9"/>
        </w:rPr>
        <w:t>'ComputerNamePhysicalNetBIOS'</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8430ce"/>
          <w:sz w:val="20"/>
          <w:szCs w:val="20"/>
          <w:shd w:val="clear" w:fill="f0f4f9"/>
        </w:rPr>
        <w:t>AS</w:t>
      </w:r>
      <w:r>
        <w:rPr>
          <w:rFonts w:ascii="Google Sans Text" w:hAnsi="Google Sans Text" w:eastAsia="Google Sans Text" w:cs="Google Sans Text"/>
          <w:color w:val="1b1c1d"/>
          <w:shd w:val="clear" w:fill="f0f4f9"/>
        </w:rPr>
        <w:t xml:space="preserve"> ActiveNode;</w:t>
        <w:br w:type="textWrapping"/>
      </w:r>
      <w:r>
        <w:rPr>
          <w:rFonts w:ascii="Google Sans Text" w:hAnsi="Google Sans Text" w:eastAsia="Google Sans Text" w:cs="Google Sans Text"/>
          <w:color w:val="1b1c1d"/>
          <w:shd w:val="clear" w:fill="f0f4f9"/>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Lub:</w:t>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PowerShell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Pr>
        <w:t>Get-ClusterGroup</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 </w:t>
      </w:r>
      <w:r>
        <w:rPr>
          <w:rFonts w:ascii="Google Sans Text" w:hAnsi="Google Sans Text" w:eastAsia="Google Sans Text" w:cs="Google Sans Text"/>
          <w:color w:val="1967d2"/>
          <w:sz w:val="20"/>
          <w:szCs w:val="20"/>
          <w:shd w:val="clear" w:fill="f0f4f9"/>
        </w:rPr>
        <w:t>Select</w:t>
      </w:r>
      <w:r>
        <w:rPr>
          <w:rFonts w:ascii="Google Sans Text" w:hAnsi="Google Sans Text" w:eastAsia="Google Sans Text" w:cs="Google Sans Text"/>
          <w:color w:val="1b1c1d"/>
          <w:shd w:val="clear" w:fill="f0f4f9"/>
        </w:rPr>
        <w:t xml:space="preserve"> Name, OwnerNode</w:t>
        <w:br w:type="textWrapping"/>
      </w:r>
      <w:r>
        <w:rPr>
          <w:rFonts w:ascii="Google Sans Text" w:hAnsi="Google Sans Text" w:eastAsia="Google Sans Text" w:cs="Google Sans Text"/>
          <w:color w:val="1b1c1d"/>
          <w:shd w:val="clear" w:fill="f0f4f9"/>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i/>
          <w:color w:val="1b1c1d"/>
        </w:rPr>
        <w:t>Oczekiwany wynik:</w:t>
      </w:r>
      <w:r>
        <w:rPr>
          <w:rFonts w:ascii="Google Sans Text" w:hAnsi="Google Sans Text" w:eastAsia="Google Sans Text" w:cs="Google Sans Text"/>
          <w:color w:val="1b1c1d"/>
        </w:rPr>
        <w:t xml:space="preserve"> OwnerNode = NODE2</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 Krok 5 – Analiza logu klastra</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Po zakończeniu przenoszenia:</w:t>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PowerShell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Pr>
        <w:t>Get-ClusterLog</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-UseLocalTime</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-Destination</w:t>
      </w:r>
      <w:r>
        <w:rPr>
          <w:rFonts w:ascii="Google Sans Text" w:hAnsi="Google Sans Text" w:eastAsia="Google Sans Text" w:cs="Google Sans Text"/>
          <w:color w:val="1b1c1d"/>
          <w:shd w:val="clear" w:fill="f0f4f9"/>
        </w:rPr>
        <w:t xml:space="preserve"> C:\Temp</w:t>
        <w:br w:type="textWrapping"/>
      </w:r>
      <w:r>
        <w:rPr>
          <w:rFonts w:ascii="Google Sans Text" w:hAnsi="Google Sans Text" w:eastAsia="Google Sans Text" w:cs="Google Sans Text"/>
          <w:color w:val="1b1c1d"/>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Otwórz plik i wyszukaj sekcję:</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[RES] SQL Server (SQLPROD): Online succeeded.</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[RES] hadrres.dll: IsAlive check passed.</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Jeśli widzisz komunikaty:</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[RES] SQL Server (SQLPROD): Timed out waiting for resource to stop.</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 oznacza to, że warto wydłużyć PendingTimeout.</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color w:val="1b1c1d"/>
        </w:rPr>
        <w:t xml:space="preserve"> </w:t>
      </w:r>
      <w:r>
        <w:rPr>
          <w:rFonts w:ascii="Google Sans Text" w:hAnsi="Google Sans Text" w:eastAsia="Google Sans Text" w:cs="Google Sans Text"/>
          <w:b/>
          <w:color w:val="1b1c1d"/>
        </w:rPr>
        <w:t>Krok 6 – Powrót na pierwotny węzeł</w:t>
      </w:r>
      <w:r>
        <w:rPr>
          <w:rFonts w:ascii="Google Sans Text" w:hAnsi="Google Sans Text" w:eastAsia="Google Sans Text" w:cs="Google Sans Text"/>
          <w:b/>
          <w:color w:val="1b1c1d"/>
        </w:rPr>
      </w:r>
    </w:p>
    <w:p>
      <w:pPr>
        <w:ind w:left="240" w:right="120"/>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b/>
          <w:color w:val="1b1c1d"/>
        </w:rPr>
      </w:r>
    </w:p>
    <w:p>
      <w:pPr>
        <w:ind w:left="240" w:right="120"/>
        <w:spacing w:before="120" w:after="15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t>PowerShell</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Pr>
        <w:t>Move-ClusterGroup</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188038"/>
          <w:sz w:val="20"/>
          <w:szCs w:val="20"/>
          <w:shd w:val="clear" w:fill="f0f4f9"/>
        </w:rPr>
        <w:t>"SQL Server (SQLPROD)"</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-Node</w:t>
      </w:r>
      <w:r>
        <w:rPr>
          <w:rFonts w:ascii="Google Sans Text" w:hAnsi="Google Sans Text" w:eastAsia="Google Sans Text" w:cs="Google Sans Text"/>
          <w:color w:val="1b1c1d"/>
          <w:shd w:val="clear" w:fill="f0f4f9"/>
        </w:rPr>
        <w:t xml:space="preserve"> NODE1 </w:t>
      </w:r>
      <w:r>
        <w:rPr>
          <w:rFonts w:ascii="Google Sans Text" w:hAnsi="Google Sans Text" w:eastAsia="Google Sans Text" w:cs="Google Sans Text"/>
          <w:color w:val="b55908"/>
          <w:sz w:val="20"/>
          <w:szCs w:val="20"/>
          <w:shd w:val="clear" w:fill="f0f4f9"/>
        </w:rPr>
        <w:t>-Wait</w:t>
      </w:r>
      <w:r>
        <w:rPr>
          <w:rFonts w:ascii="Google Sans Text" w:hAnsi="Google Sans Text" w:eastAsia="Google Sans Text" w:cs="Google Sans Text"/>
          <w:color w:val="1b1c1d"/>
          <w:shd w:val="clear" w:fill="f0f4f9"/>
        </w:rPr>
        <w:t xml:space="preserve"> </w:t>
      </w:r>
      <w:r>
        <w:rPr>
          <w:rFonts w:ascii="Google Sans Text" w:hAnsi="Google Sans Text" w:eastAsia="Google Sans Text" w:cs="Google Sans Text"/>
          <w:color w:val="b55908"/>
          <w:sz w:val="20"/>
          <w:szCs w:val="20"/>
          <w:shd w:val="clear" w:fill="f0f4f9"/>
        </w:rPr>
        <w:t>300</w:t>
      </w:r>
      <w:r>
        <w:rPr>
          <w:rFonts w:ascii="Google Sans Text" w:hAnsi="Google Sans Text" w:eastAsia="Google Sans Text" w:cs="Google Sans Text"/>
          <w:color w:val="1b1c1d"/>
          <w:shd w:val="clear" w:fill="f0f4f9"/>
        </w:rPr>
        <w:br w:type="textWrapping"/>
      </w:r>
      <w:r>
        <w:rPr>
          <w:rFonts w:ascii="Google Sans Text" w:hAnsi="Google Sans Text" w:eastAsia="Google Sans Text" w:cs="Google Sans Text"/>
          <w:color w:val="1b1c1d"/>
          <w:shd w:val="clear" w:fill="f0f4f9"/>
        </w:rPr>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lub GUI: Move → Best possible node</w:t>
      </w:r>
    </w:p>
    <w:p>
      <w:pPr>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rPr>
      </w:pPr>
      <w:r>
        <w:rPr>
          <w:rFonts w:ascii="Google Sans Text" w:hAnsi="Google Sans Text" w:eastAsia="Google Sans Text" w:cs="Google Sans Text"/>
        </w:rPr>
        <w:t>Wróć do stanu pierwotnego po testach.</w:t>
      </w:r>
    </w:p>
    <w:p>
      <w:pPr>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color w:val="1b1c1d"/>
        </w:rPr>
        <w:t xml:space="preserve">✅ </w:t>
      </w:r>
      <w:r>
        <w:rPr>
          <w:rFonts w:ascii="Google Sans Text" w:hAnsi="Google Sans Text" w:eastAsia="Google Sans Text" w:cs="Google Sans Text"/>
          <w:b/>
          <w:color w:val="1b1c1d"/>
        </w:rPr>
        <w:t>Wnioski</w:t>
      </w:r>
      <w:r>
        <w:rPr>
          <w:rFonts w:ascii="Google Sans Text" w:hAnsi="Google Sans Text" w:eastAsia="Google Sans Text" w:cs="Google Sans Text"/>
          <w:b/>
          <w:color w:val="1b1c1d"/>
        </w:rPr>
      </w:r>
    </w:p>
    <w:p>
      <w:pPr>
        <w:numPr>
          <w:ilvl w:val="0"/>
          <w:numId w:val="19"/>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Klaster FCI to organizacja zależności, nie tylko „magia przenoszenia”.</w:t>
      </w:r>
      <w:r/>
    </w:p>
    <w:p>
      <w:pPr>
        <w:numPr>
          <w:ilvl w:val="0"/>
          <w:numId w:val="19"/>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Testowanie failovera w kontrolowanych warunkach daje pewność reakcji w realnej awarii.</w:t>
      </w:r>
      <w:r/>
    </w:p>
    <w:p>
      <w:pPr>
        <w:numPr>
          <w:ilvl w:val="0"/>
          <w:numId w:val="19"/>
        </w:numPr>
        <w:ind w:left="46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Warto wykonywać takie ćwiczenie po każdej aktualizacji systemu lub patchu SQL Server.</w:t>
      </w:r>
      <w:r/>
    </w:p>
    <w:p>
      <w:pPr>
        <w:spacing w:before="24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„Nie testuj po to, by udowodnić, że działa. Testuj, by zobaczyć, jak działa, gdy przestaje działać.” — SQLManiak</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39" style="width:0.00pt;height:1.50pt" o:hr="t" o:hrpct="1000" o:hralign="center" o:hrstd="t" fillcolor="#a0a0a0" stroked="f"/>
        </w:pict>
      </w:r>
      <w:r/>
      <w:r>
        <w:rPr>
          <w:rFonts w:ascii="Google Sans Text" w:hAnsi="Google Sans Text" w:eastAsia="Google Sans Text" w:cs="Google Sans Text"/>
          <w:color w:val="1b1c1d"/>
        </w:rPr>
      </w:r>
    </w:p>
    <w:p>
      <w:pPr>
        <w:pStyle w:val="para1"/>
      </w:pPr>
      <w:r>
        <w:t>14.  Źródła i dokumentacja</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Ta sekcja zbiera oficjalne i praktyczne materiały, które warto znać przy projektowaniu, utrzymaniu i diagnostyce klastrów SQL Server FCI.</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Każdy link został dobrany tak, by pogłębiać konkretne obszary z dokumentu.</w:t>
      </w:r>
    </w:p>
    <w:p>
      <w:pPr>
        <w:pStyle w:val="para2"/>
      </w:pPr>
      <w:r>
        <w:rPr>
          <w:b w:val="0"/>
        </w:rPr>
        <w:t xml:space="preserve"> </w:t>
      </w:r>
      <w:r>
        <w:t>Oficjalna dokumentacja Microsoft</w:t>
      </w:r>
    </w:p>
    <w:p>
      <w:pPr>
        <w:numPr>
          <w:ilvl w:val="0"/>
          <w:numId w:val="20"/>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Failover Clustering Overview (Microsoft Docs)</w:t>
      </w:r>
      <w:r/>
    </w:p>
    <w:p>
      <w:pPr>
        <w:numPr>
          <w:ilvl w:val="0"/>
          <w:numId w:val="20"/>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Install SQL Server Failover Cluster Instance (Setup Guide)</w:t>
      </w:r>
      <w:r/>
    </w:p>
    <w:p>
      <w:pPr>
        <w:numPr>
          <w:ilvl w:val="0"/>
          <w:numId w:val="20"/>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Troubleshoot SQL Server FCI startup issues</w:t>
      </w:r>
      <w:r/>
    </w:p>
    <w:p>
      <w:pPr>
        <w:numPr>
          <w:ilvl w:val="0"/>
          <w:numId w:val="20"/>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SQL Server Resource DLL (hadrres.dll) internals</w:t>
      </w:r>
      <w:r/>
    </w:p>
    <w:p>
      <w:pPr>
        <w:numPr>
          <w:ilvl w:val="0"/>
          <w:numId w:val="20"/>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WSFC Diagnostic Tools – Cluster Log and Validation</w:t>
      </w:r>
      <w:r/>
    </w:p>
    <w:p>
      <w:pPr>
        <w:numPr>
          <w:ilvl w:val="0"/>
          <w:numId w:val="20"/>
        </w:numPr>
        <w:ind w:left="46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Always On Failover Cluster Instances (FCI) and Availability Groups</w:t>
      </w:r>
      <w:r/>
    </w:p>
    <w:p>
      <w:pPr>
        <w:spacing w:before="240"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b/>
          <w:color w:val="1b1c1d"/>
        </w:rPr>
      </w:pPr>
      <w:r>
        <w:rPr>
          <w:rFonts w:ascii="Google Sans Text" w:hAnsi="Google Sans Text" w:eastAsia="Google Sans Text" w:cs="Google Sans Text"/>
          <w:color w:val="1b1c1d"/>
        </w:rPr>
        <w:t xml:space="preserve">⚙️ </w:t>
      </w:r>
      <w:r>
        <w:rPr>
          <w:rFonts w:ascii="Google Sans Text" w:hAnsi="Google Sans Text" w:eastAsia="Google Sans Text" w:cs="Google Sans Text"/>
          <w:b/>
          <w:color w:val="1b1c1d"/>
        </w:rPr>
        <w:t>PowerShell i narzędzia administracyjne</w:t>
      </w:r>
      <w:r>
        <w:rPr>
          <w:rFonts w:ascii="Google Sans Text" w:hAnsi="Google Sans Text" w:eastAsia="Google Sans Text" w:cs="Google Sans Text"/>
          <w:b/>
          <w:color w:val="1b1c1d"/>
        </w:rPr>
      </w:r>
    </w:p>
    <w:p>
      <w:pPr>
        <w:numPr>
          <w:ilvl w:val="0"/>
          <w:numId w:val="21"/>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FailoverClusters PowerShell Module</w:t>
      </w:r>
      <w:r/>
    </w:p>
    <w:p>
      <w:pPr>
        <w:numPr>
          <w:ilvl w:val="0"/>
          <w:numId w:val="21"/>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Get-ClusterResource / Get-ClusterGroup Reference</w:t>
      </w:r>
      <w:r/>
    </w:p>
    <w:p>
      <w:pPr>
        <w:numPr>
          <w:ilvl w:val="0"/>
          <w:numId w:val="21"/>
        </w:numPr>
        <w:ind w:left="46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Best Practices Analyzer for WSFC</w:t>
      </w:r>
      <w:r/>
    </w:p>
    <w:p>
      <w:pPr>
        <w:pStyle w:val="para2"/>
      </w:pPr>
      <w:r>
        <w:rPr>
          <w:b w:val="0"/>
        </w:rPr>
        <w:t xml:space="preserve"> </w:t>
      </w:r>
      <w:r>
        <w:t>Artykuły i analizy praktyczne</w:t>
      </w:r>
    </w:p>
    <w:p>
      <w:pPr>
        <w:numPr>
          <w:ilvl w:val="0"/>
          <w:numId w:val="22"/>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SQL Server FCI vs AG – Deep Dive (CSS Blog)</w:t>
      </w:r>
      <w:r/>
    </w:p>
    <w:p>
      <w:pPr>
        <w:numPr>
          <w:ilvl w:val="0"/>
          <w:numId w:val="22"/>
        </w:numPr>
        <w:ind w:left="465" w:hanging="360"/>
        <w:spacing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Inside the SQL Server Resource DLL (by Bob Dorr)</w:t>
      </w:r>
      <w:r/>
    </w:p>
    <w:p>
      <w:pPr>
        <w:numPr>
          <w:ilvl w:val="0"/>
          <w:numId w:val="22"/>
        </w:numPr>
        <w:ind w:left="465" w:hanging="360"/>
        <w:spacing w:after="12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Google Sans Text" w:hAnsi="Google Sans Text" w:eastAsia="Google Sans Text" w:cs="Google Sans Text"/>
          <w:color w:val="1b1c1d"/>
        </w:rPr>
        <w:t>Cluster Networking for SQL Server</w:t>
      </w:r>
      <w:r/>
    </w:p>
    <w:p>
      <w:pPr>
        <w:spacing w:before="24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„Dobra dokumentacja nie kończy się w pliku — prowadzi dalej. Ślad źródła to ślad myślenia.” — SQLManiak</w:t>
      </w:r>
    </w:p>
    <w:p>
      <w:pPr>
        <w:spacing w:before="120"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
        <w:rPr>
          <w:noProof/>
        </w:rPr>
        <w:pict>
          <v:rect id="_x0000_i1040" style="width:0.00pt;height:1.50pt" o:hr="t" o:hrpct="1000" o:hralign="center" o:hrstd="t" fillcolor="#a0a0a0" stroked="f"/>
        </w:pict>
      </w:r>
      <w:r/>
      <w:r>
        <w:rPr>
          <w:rFonts w:ascii="Google Sans Text" w:hAnsi="Google Sans Text" w:eastAsia="Google Sans Text" w:cs="Google Sans Text"/>
          <w:color w:val="1b1c1d"/>
        </w:rPr>
      </w:r>
    </w:p>
    <w:p>
      <w:pPr>
        <w:pStyle w:val="para2"/>
      </w:pPr>
      <w:r>
        <w:t>15. Epilog SQLManiaka</w:t>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w:hAnsi="Google Sans" w:eastAsia="Google Sans" w:cs="Google Sans"/>
          <w:color w:val="1b1c1d"/>
        </w:rPr>
      </w:pPr>
      <w:r>
        <w:rPr>
          <w:rFonts w:ascii="Google Sans" w:hAnsi="Google Sans" w:eastAsia="Google Sans" w:cs="Google Sans"/>
          <w:color w:val="1b1c1d"/>
        </w:rPr>
      </w:r>
    </w:p>
    <w:p>
      <w:pPr>
        <w:spacing w:after="24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Google Sans Text" w:hAnsi="Google Sans Text" w:eastAsia="Google Sans Text" w:cs="Google Sans Text"/>
          <w:color w:val="1b1c1d"/>
        </w:rPr>
      </w:pPr>
      <w:r>
        <w:rPr>
          <w:rFonts w:ascii="Google Sans Text" w:hAnsi="Google Sans Text" w:eastAsia="Google Sans Text" w:cs="Google Sans Text"/>
          <w:color w:val="1b1c1d"/>
        </w:rPr>
        <w:t>Wysoka dostępność to sztuka cierpliwości między maszynami. SQL Server i Windows Cluster uczą się współpracować jak dwa instrumenty w orkiestrze – każdy zna swoje miejsce, a razem tworzą spójny rytm niezawodności.</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440" w:top="1440"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Sun">
    <w:panose1 w:val="02010600030101010101"/>
    <w:charset w:val="00"/>
    <w:family w:val="auto"/>
    <w:pitch w:val="default"/>
  </w:font>
  <w:font w:name="Arial">
    <w:panose1 w:val="020B0604020202020204"/>
    <w:charset w:val="00"/>
    <w:family w:val="swiss"/>
    <w:pitch w:val="default"/>
  </w:font>
  <w:font w:name="Georgia">
    <w:panose1 w:val="02040502050405020303"/>
    <w:charset w:val="00"/>
    <w:family w:val="roman"/>
    <w:pitch w:val="default"/>
  </w:font>
  <w:font w:name="Google Sans">
    <w:panose1 w:val="00000000000000000000"/>
    <w:charset w:val="00"/>
    <w:family w:val="auto"/>
    <w:pitch w:val="default"/>
    <w:embedRegular r:id="rId1" w:fontKey="{5D7FEA73-742F-8E4D-B1D5-8F3C33D4CA7F}"/>
    <w:embedBold r:id="rId2" w:fontKey="{8AC6593B-F2BB-3A43-981C-86B368B9F7DC}"/>
    <w:embedItalic r:id="rId3" w:fontKey="{E81F5A0F-9190-0940-A510-FA3F687381F7}"/>
    <w:embedBoldItalic r:id="rId4" w:fontKey="{955212BC-47FF-7C4C-9FAC-084F140FC0CC}"/>
  </w:font>
  <w:font w:name="Google Sans Text">
    <w:panose1 w:val="020B0503030502040204"/>
    <w:charset w:val="00"/>
    <w:family w:val="auto"/>
    <w:pitch w:val="default"/>
    <w:embedRegular r:id="rId5" w:fontKey="{5DC701E8-1CF9-7B41-86C0-0679C3A0EABD}"/>
    <w:embedBold r:id="rId6" w:fontKey="{5798EDB9-80A5-5649-A392-001B27AD9BC5}"/>
    <w:embedItalic r:id="rId7" w:fontKey="{5137C14F-BD19-1641-A2A0-ADCA33EA7E68}"/>
    <w:embedBoldItalic r:id="rId8" w:fontKey="{40E53FC7-E5F8-F340-BC6B-E00E5A79FFC5}"/>
  </w:font>
  <w:font w:name="Segoe UI">
    <w:panose1 w:val="020B0502040204020203"/>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Lista numerowana 1"/>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5"/>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
    <w:multiLevelType w:val="hybridMultilevel"/>
    <w:name w:val="Lista numerowana 2"/>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5"/>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3">
    <w:multiLevelType w:val="hybridMultilevel"/>
    <w:name w:val="Lista numerowana 3"/>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4">
    <w:multiLevelType w:val="hybridMultilevel"/>
    <w:name w:val="Lista numerowana 4"/>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5">
    <w:multiLevelType w:val="hybridMultilevel"/>
    <w:name w:val="Lista numerowana 5"/>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6">
    <w:multiLevelType w:val="hybridMultilevel"/>
    <w:name w:val="Lista numerowana 6"/>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7">
    <w:multiLevelType w:val="hybridMultilevel"/>
    <w:name w:val="Lista numerowana 7"/>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8">
    <w:multiLevelType w:val="hybridMultilevel"/>
    <w:name w:val="Lista numerowana 8"/>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9">
    <w:multiLevelType w:val="hybridMultilevel"/>
    <w:name w:val="Lista numerowana 9"/>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0">
    <w:multiLevelType w:val="hybridMultilevel"/>
    <w:name w:val="Lista numerowana 10"/>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1">
    <w:multiLevelType w:val="hybridMultilevel"/>
    <w:name w:val="Lista numerowana 11"/>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2">
    <w:multiLevelType w:val="hybridMultilevel"/>
    <w:name w:val="Lista numerowana 12"/>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3">
    <w:multiLevelType w:val="hybridMultilevel"/>
    <w:name w:val="Lista numerowana 13"/>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4">
    <w:multiLevelType w:val="hybridMultilevel"/>
    <w:name w:val="Lista numerowana 14"/>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5">
    <w:multiLevelType w:val="hybridMultilevel"/>
    <w:name w:val="Lista numerowana 15"/>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6">
    <w:multiLevelType w:val="hybridMultilevel"/>
    <w:name w:val="Lista numerowana 16"/>
    <w:lvl w:ilvl="0">
      <w:start w:val="1"/>
      <w:numFmt w:val="decimal"/>
      <w:suff w:val="tab"/>
      <w:lvlText w:val="%1."/>
      <w:lvlJc w:val="left"/>
      <w:pPr>
        <w:ind w:left="120"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7">
    <w:multiLevelType w:val="hybridMultilevel"/>
    <w:name w:val="Lista numerowana 17"/>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8">
    <w:multiLevelType w:val="hybridMultilevel"/>
    <w:name w:val="Lista numerowana 18"/>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19">
    <w:multiLevelType w:val="hybridMultilevel"/>
    <w:name w:val="Lista numerowana 19"/>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0">
    <w:multiLevelType w:val="hybridMultilevel"/>
    <w:name w:val="Lista numerowana 20"/>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1">
    <w:multiLevelType w:val="hybridMultilevel"/>
    <w:name w:val="Lista numerowana 21"/>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2">
    <w:multiLevelType w:val="hybridMultilevel"/>
    <w:name w:val="Lista numerowana 22"/>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numFmt w:val="bullet"/>
      <w:suff w:val="tab"/>
      <w:lvlText w:val="○"/>
      <w:lvlJc w:val="left"/>
      <w:pPr>
        <w:ind w:left="1080"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3">
    <w:multiLevelType w:val="hybridMultilevel"/>
    <w:name w:val="Lista numerowana 23"/>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2"/>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4">
    <w:multiLevelType w:val="hybridMultilevel"/>
    <w:name w:val="Lista numerowana 24"/>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3"/>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5">
    <w:multiLevelType w:val="hybridMultilevel"/>
    <w:name w:val="Lista numerowana 25"/>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4"/>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6">
    <w:multiLevelType w:val="hybridMultilevel"/>
    <w:name w:val="Lista numerowana 26"/>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5"/>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7">
    <w:multiLevelType w:val="hybridMultilevel"/>
    <w:name w:val="Lista numerowana 27"/>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6"/>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8">
    <w:multiLevelType w:val="hybridMultilevel"/>
    <w:name w:val="Lista numerowana 28"/>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7"/>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29">
    <w:multiLevelType w:val="hybridMultilevel"/>
    <w:name w:val="Lista numerowana 29"/>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8"/>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30">
    <w:multiLevelType w:val="hybridMultilevel"/>
    <w:name w:val="Lista numerowana 30"/>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9"/>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31">
    <w:multiLevelType w:val="hybridMultilevel"/>
    <w:name w:val="Lista numerowana 31"/>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0"/>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32">
    <w:multiLevelType w:val="hybridMultilevel"/>
    <w:name w:val="Lista numerowana 32"/>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1"/>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33">
    <w:multiLevelType w:val="hybridMultilevel"/>
    <w:name w:val="Lista numerowana 33"/>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2"/>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34">
    <w:multiLevelType w:val="hybridMultilevel"/>
    <w:name w:val="Lista numerowana 34"/>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3"/>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abstractNum w:abstractNumId="35">
    <w:multiLevelType w:val="hybridMultilevel"/>
    <w:name w:val="Lista numerowana 35"/>
    <w:lvl w:ilvl="0">
      <w:numFmt w:val="bullet"/>
      <w:suff w:val="tab"/>
      <w:lvlText w:val="●"/>
      <w:lvlJc w:val="left"/>
      <w:pPr>
        <w:ind w:left="105" w:hanging="0"/>
      </w:pPr>
      <w:rPr>
        <w:rFonts w:ascii="Arial" w:hAnsi="Arial" w:eastAsia="Arial" w:cs="Arial"/>
        <w:b w:val="0"/>
        <w:smallCaps w:val="0"/>
        <w:color w:val="000000"/>
        <w:sz w:val="22"/>
        <w:szCs w:val="22"/>
        <w:u w:color="auto" w:val="none"/>
        <w:shd w:val="clear" w:fill="auto"/>
        <w:vertAlign w:val="baseline"/>
      </w:rPr>
    </w:lvl>
    <w:lvl w:ilvl="1">
      <w:start w:val="14"/>
      <w:numFmt w:val="decimal"/>
      <w:suff w:val="tab"/>
      <w:lvlText w:val="%2."/>
      <w:lvlJc w:val="left"/>
      <w:pPr>
        <w:ind w:left="525" w:hanging="0"/>
      </w:pPr>
      <w:rPr>
        <w:rFonts w:ascii="Arial" w:hAnsi="Arial" w:eastAsia="Arial" w:cs="Arial"/>
        <w:b w:val="0"/>
        <w:smallCaps w:val="0"/>
        <w:color w:val="000000"/>
        <w:sz w:val="22"/>
        <w:szCs w:val="22"/>
        <w:u w:color="auto" w:val="none"/>
        <w:shd w:val="clear" w:fill="auto"/>
        <w:vertAlign w:val="baseline"/>
      </w:rPr>
    </w:lvl>
    <w:lvl w:ilvl="2">
      <w:numFmt w:val="bullet"/>
      <w:suff w:val="tab"/>
      <w:lvlText w:val="■"/>
      <w:lvlJc w:val="left"/>
      <w:pPr>
        <w:ind w:left="1800" w:hanging="0"/>
      </w:pPr>
      <w:rPr>
        <w:rFonts w:ascii="Arial" w:hAnsi="Arial" w:eastAsia="Arial" w:cs="Arial"/>
        <w:b w:val="0"/>
        <w:smallCaps w:val="0"/>
        <w:color w:val="000000"/>
        <w:sz w:val="22"/>
        <w:szCs w:val="22"/>
        <w:u w:color="auto" w:val="none"/>
        <w:shd w:val="clear" w:fill="auto"/>
        <w:vertAlign w:val="baseline"/>
      </w:rPr>
    </w:lvl>
    <w:lvl w:ilvl="3">
      <w:numFmt w:val="bullet"/>
      <w:suff w:val="tab"/>
      <w:lvlText w:val="■"/>
      <w:lvlJc w:val="left"/>
      <w:pPr>
        <w:ind w:left="2520" w:hanging="0"/>
      </w:pPr>
      <w:rPr>
        <w:rFonts w:ascii="Arial" w:hAnsi="Arial" w:eastAsia="Arial" w:cs="Arial"/>
        <w:b w:val="0"/>
        <w:smallCaps w:val="0"/>
        <w:color w:val="000000"/>
        <w:sz w:val="22"/>
        <w:szCs w:val="22"/>
        <w:u w:color="auto" w:val="none"/>
        <w:shd w:val="clear" w:fill="auto"/>
        <w:vertAlign w:val="baseline"/>
      </w:rPr>
    </w:lvl>
    <w:lvl w:ilvl="4">
      <w:numFmt w:val="bullet"/>
      <w:suff w:val="tab"/>
      <w:lvlText w:val="■"/>
      <w:lvlJc w:val="left"/>
      <w:pPr>
        <w:ind w:left="3240" w:hanging="0"/>
      </w:pPr>
      <w:rPr>
        <w:rFonts w:ascii="Arial" w:hAnsi="Arial" w:eastAsia="Arial" w:cs="Arial"/>
        <w:b w:val="0"/>
        <w:smallCaps w:val="0"/>
        <w:color w:val="000000"/>
        <w:sz w:val="22"/>
        <w:szCs w:val="22"/>
        <w:u w:color="auto" w:val="none"/>
        <w:shd w:val="clear" w:fill="auto"/>
        <w:vertAlign w:val="baseline"/>
      </w:rPr>
    </w:lvl>
    <w:lvl w:ilvl="5">
      <w:numFmt w:val="bullet"/>
      <w:suff w:val="tab"/>
      <w:lvlText w:val="■"/>
      <w:lvlJc w:val="left"/>
      <w:pPr>
        <w:ind w:left="3960" w:hanging="0"/>
      </w:pPr>
      <w:rPr>
        <w:rFonts w:ascii="Arial" w:hAnsi="Arial" w:eastAsia="Arial" w:cs="Arial"/>
        <w:b w:val="0"/>
        <w:smallCaps w:val="0"/>
        <w:color w:val="000000"/>
        <w:sz w:val="22"/>
        <w:szCs w:val="22"/>
        <w:u w:color="auto" w:val="none"/>
        <w:shd w:val="clear" w:fill="auto"/>
        <w:vertAlign w:val="baseline"/>
      </w:rPr>
    </w:lvl>
    <w:lvl w:ilvl="6">
      <w:numFmt w:val="bullet"/>
      <w:suff w:val="tab"/>
      <w:lvlText w:val="■"/>
      <w:lvlJc w:val="left"/>
      <w:pPr>
        <w:ind w:left="4680" w:hanging="0"/>
      </w:pPr>
      <w:rPr>
        <w:rFonts w:ascii="Arial" w:hAnsi="Arial" w:eastAsia="Arial" w:cs="Arial"/>
        <w:b w:val="0"/>
        <w:smallCaps w:val="0"/>
        <w:color w:val="000000"/>
        <w:sz w:val="22"/>
        <w:szCs w:val="22"/>
        <w:u w:color="auto" w:val="none"/>
        <w:shd w:val="clear" w:fill="auto"/>
        <w:vertAlign w:val="baseline"/>
      </w:rPr>
    </w:lvl>
    <w:lvl w:ilvl="7">
      <w:numFmt w:val="bullet"/>
      <w:suff w:val="tab"/>
      <w:lvlText w:val="■"/>
      <w:lvlJc w:val="left"/>
      <w:pPr>
        <w:ind w:left="5400" w:hanging="0"/>
      </w:pPr>
      <w:rPr>
        <w:rFonts w:ascii="Arial" w:hAnsi="Arial" w:eastAsia="Arial" w:cs="Arial"/>
        <w:b w:val="0"/>
        <w:smallCaps w:val="0"/>
        <w:color w:val="000000"/>
        <w:sz w:val="22"/>
        <w:szCs w:val="22"/>
        <w:u w:color="auto" w:val="none"/>
        <w:shd w:val="clear" w:fill="auto"/>
        <w:vertAlign w:val="baseline"/>
      </w:rPr>
    </w:lvl>
    <w:lvl w:ilvl="8">
      <w:numFmt w:val="bullet"/>
      <w:suff w:val="tab"/>
      <w:lvlText w:val="■"/>
      <w:lvlJc w:val="left"/>
      <w:pPr>
        <w:ind w:left="6120" w:hanging="0"/>
      </w:pPr>
      <w:rPr>
        <w:rFonts w:ascii="Arial" w:hAnsi="Arial" w:eastAsia="Arial" w:cs="Arial"/>
        <w:b w:val="0"/>
        <w:smallCaps w:val="0"/>
        <w:color w:val="000000"/>
        <w:sz w:val="22"/>
        <w:szCs w:val="22"/>
        <w:u w:color="auto" w:val="none"/>
        <w:shd w:val="clear" w:fill="auto"/>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embedTrueTypeFonts/>
  <w:defaultTabStop w:val="720"/>
  <w:autoHyphenation w:val="0"/>
  <w:doNotShadeFormData w:val="0"/>
  <w:captions>
    <w:caption w:name="Tabela" w:pos="below" w:numFmt="decimal"/>
    <w:caption w:name="Rysunek" w:pos="below" w:numFmt="decimal"/>
    <w:caption w:name="Obraz"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41"/>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65535"/>
    <w:tmLastPosSelect w:val="4"/>
    <w:tmLastPosFrameIdx w:val="-1"/>
    <w:tmLastPosCaret>
      <w:tmLastPosPgfIdx w:val="0"/>
      <w:tmLastPosIdx w:val="0"/>
    </w:tmLastPosCaret>
    <w:tmLastPosAnchor>
      <w:tmLastPosPgfIdx w:val="0"/>
      <w:tmLastPosIdx w:val="0"/>
    </w:tmLastPosAnchor>
    <w:tmLastPosTblRect w:left="0" w:top="0" w:right="0" w:bottom="0"/>
  </w:tmLastPos>
  <w:tmAppRevision w:date="1761980613" w:val="1228"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pl-pl"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48"/>
      <w:szCs w:val="48"/>
    </w:rPr>
  </w:style>
  <w:style w:type="paragraph" w:styleId="para2">
    <w:name w:val="heading 2"/>
    <w:qFormat/>
    <w:basedOn w:val="para0"/>
    <w:next w:val="para0"/>
    <w:pPr>
      <w:spacing w:before="225" w:after="22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36"/>
      <w:szCs w:val="36"/>
    </w:rPr>
  </w:style>
  <w:style w:type="paragraph" w:styleId="para3">
    <w:name w:val="heading 3"/>
    <w:qFormat/>
    <w:basedOn w:val="para0"/>
    <w:next w:val="para0"/>
    <w:pPr>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28"/>
      <w:szCs w:val="28"/>
    </w:rPr>
  </w:style>
  <w:style w:type="paragraph" w:styleId="para4">
    <w:name w:val="heading 4"/>
    <w:qFormat/>
    <w:basedOn w:val="para0"/>
    <w:next w:val="para0"/>
    <w:pPr>
      <w:spacing w:before="255" w:after="25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24"/>
      <w:szCs w:val="24"/>
    </w:rPr>
  </w:style>
  <w:style w:type="paragraph" w:styleId="para5">
    <w:name w:val="heading 5"/>
    <w:qFormat/>
    <w:basedOn w:val="para0"/>
    <w:next w:val="para0"/>
    <w:pPr>
      <w:spacing w:before="255" w:after="25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18"/>
      <w:szCs w:val="18"/>
    </w:rPr>
  </w:style>
  <w:style w:type="paragraph" w:styleId="para6">
    <w:name w:val="heading 6"/>
    <w:qFormat/>
    <w:basedOn w:val="para0"/>
    <w:next w:val="para0"/>
    <w:pPr>
      <w:spacing w:before="360" w:after="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16"/>
      <w:szCs w:val="16"/>
    </w:rPr>
  </w:style>
  <w:style w:type="paragraph" w:styleId="para7">
    <w:name w:val="Title"/>
    <w:qFormat/>
    <w:basedOn w:val="para0"/>
    <w:next w:val="para0"/>
    <w:pPr>
      <w:spacing w:before="480" w:after="120"/>
      <w:keepNext/>
      <w:keepLines/>
    </w:pPr>
    <w:rPr>
      <w:b/>
      <w:sz w:val="72"/>
      <w:szCs w:val="72"/>
    </w:rPr>
  </w:style>
  <w:style w:type="paragraph" w:styleId="para8">
    <w:name w:val="Subtitle"/>
    <w:qFormat/>
    <w:basedOn w:val="para0"/>
    <w:next w:val="para0"/>
    <w:pPr>
      <w:spacing w:before="360" w:after="80"/>
      <w:keepNext/>
      <w:keepLines/>
    </w:pPr>
    <w:rPr>
      <w:rFonts w:ascii="Georgia" w:hAnsi="Georgia" w:eastAsia="Georgia" w:cs="Georgia"/>
      <w:i/>
      <w:color w:val="666666"/>
      <w:sz w:val="48"/>
      <w:szCs w:val="48"/>
    </w:rPr>
  </w:style>
  <w:style w:type="paragraph" w:styleId="para9">
    <w:name w:val="Balloon Text"/>
    <w:qFormat/>
    <w:basedOn w:val="para0"/>
    <w:rPr>
      <w:rFonts w:ascii="Segoe UI" w:hAnsi="Segoe UI" w:eastAsia="SimSun" w:cs="Segoe UI"/>
      <w:sz w:val="18"/>
      <w:szCs w:val="18"/>
    </w:rPr>
  </w:style>
  <w:style w:type="paragraph" w:styleId="para10">
    <w:name w:val="Comment Text"/>
    <w:qFormat/>
    <w:basedOn w:val="para0"/>
    <w:rPr>
      <w:sz w:val="20"/>
      <w:szCs w:val="20"/>
    </w:rPr>
  </w:style>
  <w:style w:type="character" w:styleId="char0" w:default="1">
    <w:name w:val="Default Paragraph Font"/>
  </w:style>
  <w:style w:type="table" w:default="1" w:styleId="TableNormal">
    <w:name w:val="Zwykła tabela"/>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pl-pl"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48"/>
      <w:szCs w:val="48"/>
    </w:rPr>
  </w:style>
  <w:style w:type="paragraph" w:styleId="para2">
    <w:name w:val="heading 2"/>
    <w:qFormat/>
    <w:basedOn w:val="para0"/>
    <w:next w:val="para0"/>
    <w:pPr>
      <w:spacing w:before="225" w:after="22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36"/>
      <w:szCs w:val="36"/>
    </w:rPr>
  </w:style>
  <w:style w:type="paragraph" w:styleId="para3">
    <w:name w:val="heading 3"/>
    <w:qFormat/>
    <w:basedOn w:val="para0"/>
    <w:next w:val="para0"/>
    <w:pPr>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28"/>
      <w:szCs w:val="28"/>
    </w:rPr>
  </w:style>
  <w:style w:type="paragraph" w:styleId="para4">
    <w:name w:val="heading 4"/>
    <w:qFormat/>
    <w:basedOn w:val="para0"/>
    <w:next w:val="para0"/>
    <w:pPr>
      <w:spacing w:before="255" w:after="25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24"/>
      <w:szCs w:val="24"/>
    </w:rPr>
  </w:style>
  <w:style w:type="paragraph" w:styleId="para5">
    <w:name w:val="heading 5"/>
    <w:qFormat/>
    <w:basedOn w:val="para0"/>
    <w:next w:val="para0"/>
    <w:pPr>
      <w:spacing w:before="255" w:after="25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18"/>
      <w:szCs w:val="18"/>
    </w:rPr>
  </w:style>
  <w:style w:type="paragraph" w:styleId="para6">
    <w:name w:val="heading 6"/>
    <w:qFormat/>
    <w:basedOn w:val="para0"/>
    <w:next w:val="para0"/>
    <w:pPr>
      <w:spacing w:before="360" w:after="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sz w:val="16"/>
      <w:szCs w:val="16"/>
    </w:rPr>
  </w:style>
  <w:style w:type="paragraph" w:styleId="para7">
    <w:name w:val="Title"/>
    <w:qFormat/>
    <w:basedOn w:val="para0"/>
    <w:next w:val="para0"/>
    <w:pPr>
      <w:spacing w:before="480" w:after="120"/>
      <w:keepNext/>
      <w:keepLines/>
    </w:pPr>
    <w:rPr>
      <w:b/>
      <w:sz w:val="72"/>
      <w:szCs w:val="72"/>
    </w:rPr>
  </w:style>
  <w:style w:type="paragraph" w:styleId="para8">
    <w:name w:val="Subtitle"/>
    <w:qFormat/>
    <w:basedOn w:val="para0"/>
    <w:next w:val="para0"/>
    <w:pPr>
      <w:spacing w:before="360" w:after="80"/>
      <w:keepNext/>
      <w:keepLines/>
    </w:pPr>
    <w:rPr>
      <w:rFonts w:ascii="Georgia" w:hAnsi="Georgia" w:eastAsia="Georgia" w:cs="Georgia"/>
      <w:i/>
      <w:color w:val="666666"/>
      <w:sz w:val="48"/>
      <w:szCs w:val="48"/>
    </w:rPr>
  </w:style>
  <w:style w:type="paragraph" w:styleId="para9">
    <w:name w:val="Balloon Text"/>
    <w:qFormat/>
    <w:basedOn w:val="para0"/>
    <w:rPr>
      <w:rFonts w:ascii="Segoe UI" w:hAnsi="Segoe UI" w:eastAsia="SimSun" w:cs="Segoe UI"/>
      <w:sz w:val="18"/>
      <w:szCs w:val="18"/>
    </w:rPr>
  </w:style>
  <w:style w:type="paragraph" w:styleId="para10">
    <w:name w:val="Comment Text"/>
    <w:qFormat/>
    <w:basedOn w:val="para0"/>
    <w:rPr>
      <w:sz w:val="20"/>
      <w:szCs w:val="20"/>
    </w:rPr>
  </w:style>
  <w:style w:type="character" w:styleId="char0" w:default="1">
    <w:name w:val="Default Paragraph Font"/>
  </w:style>
  <w:style w:type="table" w:default="1" w:styleId="TableNormal">
    <w:name w:val="Zwykła tabela"/>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_rels/fontTable.xml.rels><?xml version="1.0" encoding="UTF-8" standalone="yes" ?>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2025-11-01T06:57:09Z</dcterms:created>
  <dcterms:modified xsi:type="dcterms:W3CDTF">2025-11-01T07:03:33Z</dcterms:modified>
</cp:coreProperties>
</file>