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itle"/>
      </w:pPr>
      <w:r>
        <w:t xml:space="preserve">Especificação Técnica do Backend do Sistema Academia</w:t>
      </w:r>
    </w:p>
    <w:p>
      <w:r>
        <w:t xml:space="preserve">Sistema Academia | análise dos fontes recebidos em 29 de setembro de 2026</w:t>
      </w:r>
    </w:p>
    <w:p>
      <w:r>
        <w:t xml:space="preserve">Esta especificação registra contratos e comportamento observáveis nos serviços de backend recebidos. Seu propósito é orientar manutenção e integração. Endpoints internos e externos são indicados conforme os controladores e as rotas do gateway; não foi realizada execução da aplicação.</w:t>
      </w:r>
    </w:p>
    <w:p>
      <w:pPr>
        <w:pStyle w:val="Heading1"/>
      </w:pPr>
      <w:r>
        <w:t xml:space="preserve">Estrutura e execução</w:t>
      </w:r>
    </w:p>
    <w:p>
      <w:r>
        <w:t xml:space="preserve">O backend contém java/gymUpload, UserControl, VideoConsumer, SearchResult e gym-gateway; python/mcp_video e video_processor; infra/docker-compose.yml. A composição usa variáveis de ambiente para credenciais, endereços e portas e volumes nomeados para persistência.</w:t>
      </w:r>
    </w:p>
    <w:p>
      <w:pPr>
        <w:pStyle w:val="Heading1"/>
      </w:pPr>
      <w:r>
        <w:t xml:space="preserve">Contratos HTTP principais</w:t>
      </w:r>
    </w:p>
    <w:tbl>
      <w:tblPr>
        <w:tblStyle w:val="TableGrid"/>
        <w:jc w:val="center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>
        <w:tc>
          <w:tcPr>
            <w:tcW w:w="3312" w:type="dxa"/>
          </w:tcPr>
          <w:p>
            <w:r>
              <w:rPr>
                <w:sz w:val="18"/>
              </w:rPr>
              <w:t xml:space="preserve">Serviço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Método e rota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Função</w:t>
            </w:r>
          </w:p>
        </w:tc>
      </w:tr>
      <w:tr>
        <w:tc>
          <w:tcPr>
            <w:tcW w:w="3312" w:type="dxa"/>
          </w:tcPr>
          <w:p>
            <w:r>
              <w:rPr>
                <w:sz w:val="18"/>
              </w:rPr>
              <w:t xml:space="preserve">gymUpload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POST /api/uploads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multipart pessoaId, tipoExercicio e file</w:t>
            </w:r>
          </w:p>
        </w:tc>
      </w:tr>
      <w:tr>
        <w:tc>
          <w:tcPr>
            <w:tcW w:w="3312" w:type="dxa"/>
          </w:tcPr>
          <w:p>
            <w:r>
              <w:rPr>
                <w:sz w:val="18"/>
              </w:rPr>
              <w:t xml:space="preserve">gymUpload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GET /api/arquivos/pessoa/info/{pessoaId}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Metadados do pendente</w:t>
            </w:r>
          </w:p>
        </w:tc>
      </w:tr>
      <w:tr>
        <w:tc>
          <w:tcPr>
            <w:tcW w:w="3312" w:type="dxa"/>
          </w:tcPr>
          <w:p>
            <w:r>
              <w:rPr>
                <w:sz w:val="18"/>
              </w:rPr>
              <w:t xml:space="preserve">gymUpload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GET /api/arquivos/pessoa/{pessoaId}/pendente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Streaming do vídeo</w:t>
            </w:r>
          </w:p>
        </w:tc>
      </w:tr>
      <w:tr>
        <w:tc>
          <w:tcPr>
            <w:tcW w:w="3312" w:type="dxa"/>
          </w:tcPr>
          <w:p>
            <w:r>
              <w:rPr>
                <w:sz w:val="18"/>
              </w:rPr>
              <w:t xml:space="preserve">gymUpload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DELETE /api/arquivos/processamento/{processamentoId}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Remove vídeo/processamento</w:t>
            </w:r>
          </w:p>
        </w:tc>
      </w:tr>
      <w:tr>
        <w:tc>
          <w:tcPr>
            <w:tcW w:w="3312" w:type="dxa"/>
          </w:tcPr>
          <w:p>
            <w:r>
              <w:rPr>
                <w:sz w:val="18"/>
              </w:rPr>
              <w:t xml:space="preserve">gymUpload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POST /api/pessoas; GET /api/pessoas/{id}; PUT /api/pessoas/{id}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Cadastro e perfil</w:t>
            </w:r>
          </w:p>
        </w:tc>
      </w:tr>
      <w:tr>
        <w:tc>
          <w:tcPr>
            <w:tcW w:w="3312" w:type="dxa"/>
          </w:tcPr>
          <w:p>
            <w:r>
              <w:rPr>
                <w:sz w:val="18"/>
              </w:rPr>
              <w:t xml:space="preserve">gymUpload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GET /api/pessoas/estatistica/{pessoaId}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Estatísticas</w:t>
            </w:r>
          </w:p>
        </w:tc>
      </w:tr>
      <w:tr>
        <w:tc>
          <w:tcPr>
            <w:tcW w:w="3312" w:type="dxa"/>
          </w:tcPr>
          <w:p>
            <w:r>
              <w:rPr>
                <w:sz w:val="18"/>
              </w:rPr>
              <w:t xml:space="preserve">UserControl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POST /api/auth/login; POST /api/auth/validate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Autenticação e validação</w:t>
            </w:r>
          </w:p>
        </w:tc>
      </w:tr>
      <w:tr>
        <w:tc>
          <w:tcPr>
            <w:tcW w:w="3312" w:type="dxa"/>
          </w:tcPr>
          <w:p>
            <w:r>
              <w:rPr>
                <w:sz w:val="18"/>
              </w:rPr>
              <w:t xml:space="preserve">UserControl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POST /api/users; PUT /api/users/password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Usuário e senha</w:t>
            </w:r>
          </w:p>
        </w:tc>
      </w:tr>
      <w:tr>
        <w:tc>
          <w:tcPr>
            <w:tcW w:w="3312" w:type="dxa"/>
          </w:tcPr>
          <w:p>
            <w:r>
              <w:rPr>
                <w:sz w:val="18"/>
              </w:rPr>
              <w:t xml:space="preserve">SearchResult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GET /api/resultados/processamento/{id}; /pessoa/{id}; /pessoa/{id}/ultimo; /pessoa/{id}/periodo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Consultas</w:t>
            </w:r>
          </w:p>
        </w:tc>
      </w:tr>
      <w:tr>
        <w:tc>
          <w:tcPr>
            <w:tcW w:w="3312" w:type="dxa"/>
          </w:tcPr>
          <w:p>
            <w:r>
              <w:rPr>
                <w:sz w:val="18"/>
              </w:rPr>
              <w:t xml:space="preserve">video_processor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POST /api/exercicios/processar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Processa pessoa_id; uso interno</w:t>
            </w:r>
          </w:p>
        </w:tc>
      </w:tr>
    </w:tbl>
    <w:p>
      <w:pPr>
        <w:pStyle w:val="Heading1"/>
      </w:pPr>
      <w:r>
        <w:t xml:space="preserve">Persistência e evento</w:t>
      </w:r>
    </w:p>
    <w:p>
      <w:r>
        <w:t xml:space="preserve">A migração Flyway V1 cria pessoa (email único, userid obrigatório), arquivo (FK pessoa) e arquivo_processamento (FK pessoa e arquivo, arquivo_id único; publicado falso por padrão). O evento VideoUploadedEvent contém pessoaId, arquivoId, processamentoId e tipoExercicio. O consumidor chama o processador, verifica processamento.sucesso, grava um documento com pessoaId, processamentoId e resultado no MongoDB e, depois, solicita exclusão do vídeo.</w:t>
      </w:r>
    </w:p>
    <w:p>
      <w:pPr>
        <w:pStyle w:val="Heading1"/>
      </w:pPr>
      <w:r>
        <w:t xml:space="preserve">Pipeline de análise</w:t>
      </w:r>
    </w:p>
    <w:p>
      <w:r>
        <w:t xml:space="preserve">O FastAPI invoca exercise_graph com pessoa_id. O nó processar_video consulta a ferramenta MCP obter_stream_video_pendente, baixa/lê o vídeo e aplica MediaPipe PoseLandmarker, cálculo geométrico, resumo e detecção de repetições presentes no pacote pose. O nó analisar_exercicio solicita ao provedor OpenAI um JSON com status, resumo, pontos_positivos, pontos_atencao e recomendacoes. O código tenta converter a resposta textual da LLM em JSON e retorna status erro se a conversão falhar.</w:t>
      </w:r>
    </w:p>
    <w:p>
      <w:pPr>
        <w:pStyle w:val="Heading1"/>
      </w:pPr>
      <w:r>
        <w:t xml:space="preserve">Configuração operacional</w:t>
      </w:r>
    </w:p>
    <w:p>
      <w:r>
        <w:t xml:space="preserve">Compose define PostgreSQL com pgvector 0.8.6-pg17, Kafka 4.1.2, MongoDB 8.0, Redis 8.2.8, Keycloak 26.4.7 e MinIO. Portas externas relevantes ao backend: gateway 5555, Kafka UI 8088, pgAdmin 5050, Mongo Express 8082 e MongoDB 27017. Serviços internos usam portas 8090, 8089, 8000, 8001, 8095 e 8096. Valores de segredos devem ser fornecidos por ambiente.</w:t>
      </w:r>
    </w:p>
    <w:p>
      <w:pPr>
        <w:pStyle w:val="Heading1"/>
      </w:pPr>
      <w:r>
        <w:t xml:space="preserve">Achados para correção ou validação</w:t>
      </w:r>
    </w:p>
    <w:p>
      <w:pPr>
        <w:pStyle w:val="ListBullet"/>
      </w:pPr>
      <w:r>
        <w:t xml:space="preserve">UploadController verifica 50 MB depois de uploadService.upload; nesse ponto o arquivo já pode ter sido persistido e o evento publicado. Mover a validação para antes do serviço.</w:t>
      </w:r>
    </w:p>
    <w:p>
      <w:pPr>
        <w:pStyle w:val="ListBullet"/>
      </w:pPr>
      <w:r>
        <w:t xml:space="preserve">O nó da LLM cria explicitamente o provedor OPENAI; a variável LLM_PROVIDER declarada no Compose não governa essa escolha nesse trecho.</w:t>
      </w:r>
    </w:p>
    <w:p>
      <w:pPr>
        <w:pStyle w:val="ListBullet"/>
      </w:pPr>
      <w:r>
        <w:t xml:space="preserve">A extração do vídeo pendente usa pessoa_id na chamada ao processador, apesar de o evento identificar processamentoId; verificar correspondência sob concorrência.</w:t>
      </w:r>
    </w:p>
    <w:p>
      <w:pPr>
        <w:pStyle w:val="ListBullet"/>
      </w:pPr>
      <w:r>
        <w:t xml:space="preserve">Configuração CORS do gateway combina allowedOriginPatterns amplo com credenciais. Revisar origens permitidas antes de exposição pública.</w:t>
      </w:r>
    </w:p>
    <w:p>
      <w:pPr>
        <w:pStyle w:val="ListBullet"/>
      </w:pPr>
      <w:r>
        <w:t xml:space="preserve">Não há evidência nesta análise de execução dos testes, de um ambiente produtivo ou de garantia clínica das análises.</w:t>
      </w:r>
    </w:p>
    <w:p>
      <w:pPr>
        <w:pStyle w:val="Heading1"/>
      </w:pPr>
      <w:r>
        <w:t xml:space="preserve">Referências no pacote</w:t>
      </w:r>
    </w:p>
    <w:p>
      <w:r>
        <w:t xml:space="preserve">Controladores de cada serviço; UploadService.java; VideoProcessingService.java; VideoUploadedEvent.java; app.py; workflow/graph.py; workflow/nodes; infra/docker-compose.yml; migração V1.</w:t>
      </w:r>
    </w:p>
    <w:sectPr>
      <w:pgSz w:h="15840" w:w="122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ptos Display">
    <w:panose1 w:val="05040102010807070707"/>
  </w:font>
  <w:font w:name="Aptos">
    <w:panose1 w:val="05040102010807070707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singleLevel"/>
    <w:nsid w:val="FFFFFF7C"/>
    <w:lvl w:ilvl="0">
      <w:lvlJc w:val="left"/>
      <w:lvlText w:val="%1."/>
      <w:numFmt w:val="decimal"/>
      <w:pPr>
        <w:tabs>
          <w:tab w:val="num" w:pos="1800"/>
        </w:tabs>
        <w:ind w:hanging="360" w:left="1800"/>
      </w:pPr>
      <w:start w:val="1"/>
    </w:lvl>
  </w:abstractNum>
  <w:abstractNum w:abstractNumId="1">
    <w:multiLevelType w:val="singleLevel"/>
    <w:nsid w:val="FFFFFF7D"/>
    <w:lvl w:ilvl="0">
      <w:lvlJc w:val="left"/>
      <w:lvlText w:val="%1."/>
      <w:numFmt w:val="decimal"/>
      <w:pPr>
        <w:tabs>
          <w:tab w:val="num" w:pos="1440"/>
        </w:tabs>
        <w:ind w:hanging="360" w:left="1440"/>
      </w:pPr>
      <w:start w:val="1"/>
    </w:lvl>
  </w:abstractNum>
  <w:abstractNum w:abstractNumId="2">
    <w:multiLevelType w:val="singleLevel"/>
    <w:nsid w:val="FFFFFF7E"/>
    <w:lvl w:ilvl="0">
      <w:lvlJc w:val="left"/>
      <w:lvlText w:val="%1."/>
      <w:numFmt w:val="decimal"/>
      <w:pPr>
        <w:tabs>
          <w:tab w:val="num" w:pos="1080"/>
        </w:tabs>
        <w:ind w:hanging="360" w:left="1080"/>
      </w:pPr>
      <w:pStyle w:val="ListNumber3"/>
      <w:start w:val="1"/>
    </w:lvl>
  </w:abstractNum>
  <w:abstractNum w:abstractNumId="3">
    <w:multiLevelType w:val="singleLevel"/>
    <w:nsid w:val="FFFFFF7F"/>
    <w:lvl w:ilvl="0">
      <w:lvlJc w:val="left"/>
      <w:lvlText w:val="%1."/>
      <w:numFmt w:val="decimal"/>
      <w:pPr>
        <w:tabs>
          <w:tab w:val="num" w:pos="720"/>
        </w:tabs>
        <w:ind w:hanging="360" w:left="720"/>
      </w:pPr>
      <w:pStyle w:val="ListNumber2"/>
      <w:start w:val="1"/>
    </w:lvl>
  </w:abstractNum>
  <w:abstractNum w:abstractNumId="4">
    <w:multiLevelType w:val="singleLevel"/>
    <w:nsid w:val="FFFFFF81"/>
    <w:lvl w:ilvl="0">
      <w:lvlJc w:val="left"/>
      <w:lvlText w:val=""/>
      <w:numFmt w:val="bullet"/>
      <w:pPr>
        <w:tabs>
          <w:tab w:val="num" w:pos="1440"/>
        </w:tabs>
        <w:ind w:hanging="360" w:left="1440"/>
      </w:pPr>
      <w:rPr>
        <w:rFonts w:hint="default" w:ascii="Symbol" w:hAnsi="Symbol"/>
      </w:rPr>
      <w:start w:val="1"/>
    </w:lvl>
  </w:abstractNum>
  <w:abstractNum w:abstractNumId="5">
    <w:multiLevelType w:val="singleLevel"/>
    <w:nsid w:val="FFFFFF82"/>
    <w:lvl w:ilvl="0">
      <w:lvlJc w:val="left"/>
      <w:lvlText w:val=""/>
      <w:numFmt w:val="bullet"/>
      <w:pPr>
        <w:tabs>
          <w:tab w:val="num" w:pos="1080"/>
        </w:tabs>
        <w:ind w:hanging="360" w:left="1080"/>
      </w:pPr>
      <w:pStyle w:val="ListBullet3"/>
      <w:rPr>
        <w:rFonts w:hint="default" w:ascii="Symbol" w:hAnsi="Symbol"/>
      </w:rPr>
      <w:start w:val="1"/>
    </w:lvl>
  </w:abstractNum>
  <w:abstractNum w:abstractNumId="6">
    <w:multiLevelType w:val="singleLevel"/>
    <w:nsid w:val="FFFFFF83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pStyle w:val="ListBullet2"/>
      <w:rPr>
        <w:rFonts w:hint="default" w:ascii="Symbol" w:hAnsi="Symbol"/>
      </w:rPr>
      <w:start w:val="1"/>
    </w:lvl>
  </w:abstractNum>
  <w:abstractNum w:abstractNumId="7">
    <w:multiLevelType w:val="singleLevel"/>
    <w:nsid w:val="FFFFFF88"/>
    <w:lvl w:ilvl="0">
      <w:lvlJc w:val="left"/>
      <w:lvlText w:val="%1."/>
      <w:numFmt w:val="decimal"/>
      <w:pPr>
        <w:tabs>
          <w:tab w:val="num" w:pos="360"/>
        </w:tabs>
        <w:ind w:hanging="360" w:left="360"/>
      </w:pPr>
      <w:pStyle w:val="ListNumber"/>
      <w:start w:val="1"/>
    </w:lvl>
  </w:abstractNum>
  <w:abstractNum w:abstractNumId="8">
    <w:multiLevelType w:val="singleLevel"/>
    <w:nsid w:val="FFFFFF89"/>
    <w:lvl w:ilvl="0">
      <w:lvlJc w:val="left"/>
      <w:lvlText w:val=""/>
      <w:numFmt w:val="bullet"/>
      <w:pPr>
        <w:tabs>
          <w:tab w:val="num" w:pos="360"/>
        </w:tabs>
        <w:ind w:hanging="360" w:left="360"/>
      </w:pPr>
      <w:pStyle w:val="ListBullet"/>
      <w:rPr>
        <w:rFonts w:hint="default" w:ascii="Symbol" w:hAnsi="Symbol"/>
      </w:rPr>
      <w:start w:val="1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 w:val="true"/>
      <w:spacing w:after="140" w:before="28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 w:val="true"/>
      <w:spacing w:after="140" w:before="28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 w:val="true"/>
      <w:spacing w:after="0"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 w:val="true"/>
      <w:spacing w:after="0"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 w:val="true"/>
      <w:spacing w:after="0"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 w:val="true"/>
      <w:spacing w:after="0"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 w:val="true"/>
      <w:spacing w:after="0"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 w:val="true"/>
      <w:spacing w:after="0"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 w:val="true"/>
      <w:spacing w:after="0"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140" w:before="280" w:line="240" w:lineRule="auto"/>
      <w:contextualSpacing w:val="true"/>
    </w:pPr>
    <w:rPr>
      <w:rFonts w:ascii="Aptos Display" w:hAnsi="Aptos Display"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 w:val="true"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hanging="360" w:left="360"/>
      <w:contextualSpacing w:val="true"/>
    </w:pPr>
  </w:style>
  <w:style w:type="paragraph" w:styleId="List2">
    <w:name w:val="List 2"/>
    <w:basedOn w:val="Normal"/>
    <w:uiPriority w:val="99"/>
    <w:unhideWhenUsed/>
    <w:pPr>
      <w:ind w:hanging="360" w:left="720"/>
      <w:contextualSpacing w:val="true"/>
    </w:pPr>
  </w:style>
  <w:style w:type="paragraph" w:styleId="List3">
    <w:name w:val="List 3"/>
    <w:basedOn w:val="Normal"/>
    <w:uiPriority w:val="99"/>
    <w:unhideWhenUsed/>
    <w:pPr>
      <w:ind w:hanging="360" w:left="1080"/>
      <w:contextualSpacing w:val="true"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 w:val="true"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 w:val="true"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 w:val="true"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 w:val="true"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 w:val="true"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 w:val="true"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 w:val="true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 w:val="true"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 w:val="true"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000000" w:themeFill="tex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4f81bd" w:themeFill="accen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c0504d" w:themeFill="accent2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9bbb59" w:themeFill="accent3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8064a2" w:themeFill="accent4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4bacc6" w:themeFill="accent5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f79646" w:themeFill="accent6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2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4d0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</w:tcPr>
    </w:tblStylePr>
    <w:tblStylePr w:type="band1Horz"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</w:tcPr>
    </w:tblStylePr>
    <w:tblStylePr w:type="band1Horz"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</w:tcPr>
    </w:tblStylePr>
    <w:tblStylePr w:type="band1Horz"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</w:tcPr>
    </w:tblStylePr>
    <w:tblStylePr w:type="band1Horz"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CharactersWithSpaces>0</CharactersWithSpaces>
  <Application>ONLYOFFICE/9.4.0.129</Application>
  <DocSecurity>0</DocSecurity>
  <Lines>0</Lines>
  <Paragraphs>0</Paragraphs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