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SOI — Sistema Operativo e Intelligenza</w:t>
      </w:r>
    </w:p>
    <w:p>
      <w:pPr>
        <w:pStyle w:val="Title"/>
        <w:jc w:val="center"/>
      </w:pPr>
      <w:r>
        <w:t>SOI — Evidence Registry V1.0</w:t>
      </w:r>
    </w:p>
    <w:p>
      <w:pPr>
        <w:jc w:val="center"/>
      </w:pPr>
      <w:r>
        <w:t>Documento oficial de trabalho • Versão V15.1 • 28/09/2026</w:t>
      </w:r>
    </w:p>
    <w:p/>
    <w:p>
      <w:pPr>
        <w:pStyle w:val="Heading1"/>
      </w:pPr>
      <w:r>
        <w:t>1. Objetivo</w:t>
      </w:r>
    </w:p>
    <w:p>
      <w:r>
        <w:t>Controlar evidências utilizadas para decisões do SOI, mantendo origem, temporalidade, confiança, contexto e validade.</w:t>
      </w:r>
    </w:p>
    <w:p>
      <w:pPr>
        <w:pStyle w:val="Heading1"/>
      </w:pPr>
      <w:r>
        <w:t>2. Campos obrigatórios</w:t>
      </w:r>
    </w:p>
    <w:p>
      <w:pPr>
        <w:pStyle w:val="ListBullet"/>
      </w:pPr>
      <w:r>
        <w:t>EVID-ID</w:t>
      </w:r>
    </w:p>
    <w:p>
      <w:pPr>
        <w:pStyle w:val="ListBullet"/>
      </w:pPr>
      <w:r>
        <w:t>Fonte/autor</w:t>
      </w:r>
    </w:p>
    <w:p>
      <w:pPr>
        <w:pStyle w:val="ListBullet"/>
      </w:pPr>
      <w:r>
        <w:t>Data de captura</w:t>
      </w:r>
    </w:p>
    <w:p>
      <w:pPr>
        <w:pStyle w:val="ListBullet"/>
      </w:pPr>
      <w:r>
        <w:t>Tipo: fato, inferência, hipótese, estimativa, projeção ou opinião</w:t>
      </w:r>
    </w:p>
    <w:p>
      <w:pPr>
        <w:pStyle w:val="ListBullet"/>
      </w:pPr>
      <w:r>
        <w:t>Trecho/achado</w:t>
      </w:r>
    </w:p>
    <w:p>
      <w:pPr>
        <w:pStyle w:val="ListBullet"/>
      </w:pPr>
      <w:r>
        <w:t>Contexto</w:t>
      </w:r>
    </w:p>
    <w:p>
      <w:pPr>
        <w:pStyle w:val="ListBullet"/>
      </w:pPr>
      <w:r>
        <w:t>Confiança</w:t>
      </w:r>
    </w:p>
    <w:p>
      <w:pPr>
        <w:pStyle w:val="ListBullet"/>
      </w:pPr>
      <w:r>
        <w:t>Validade</w:t>
      </w:r>
    </w:p>
    <w:p>
      <w:pPr>
        <w:pStyle w:val="ListBullet"/>
      </w:pPr>
      <w:r>
        <w:t>Tenant/escopo</w:t>
      </w:r>
    </w:p>
    <w:p>
      <w:pPr>
        <w:pStyle w:val="ListBullet"/>
      </w:pPr>
      <w:r>
        <w:t>Decisão relacionada</w:t>
      </w:r>
    </w:p>
    <w:p>
      <w:pPr>
        <w:pStyle w:val="ListBullet"/>
      </w:pPr>
      <w:r>
        <w:t>Status de revisão</w:t>
      </w:r>
    </w:p>
    <w:p>
      <w:pPr>
        <w:pStyle w:val="Heading1"/>
      </w:pPr>
      <w:r>
        <w:t>3. Registro inicial de evidências internas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ID</w:t>
            </w:r>
          </w:p>
        </w:tc>
        <w:tc>
          <w:tcPr>
            <w:tcW w:type="dxa" w:w="1987"/>
          </w:tcPr>
          <w:p>
            <w:r>
              <w:t>Evidência</w:t>
            </w:r>
          </w:p>
        </w:tc>
        <w:tc>
          <w:tcPr>
            <w:tcW w:type="dxa" w:w="1987"/>
          </w:tcPr>
          <w:p>
            <w:r>
              <w:t>Origem</w:t>
            </w:r>
          </w:p>
        </w:tc>
        <w:tc>
          <w:tcPr>
            <w:tcW w:type="dxa" w:w="1987"/>
          </w:tcPr>
          <w:p>
            <w:r>
              <w:t>Confiança</w:t>
            </w:r>
          </w:p>
        </w:tc>
        <w:tc>
          <w:tcPr>
            <w:tcW w:type="dxa" w:w="1987"/>
          </w:tcPr>
          <w:p>
            <w:r>
              <w:t>Status</w:t>
            </w:r>
          </w:p>
        </w:tc>
      </w:tr>
      <w:tr>
        <w:tc>
          <w:tcPr>
            <w:tcW w:type="dxa" w:w="1987"/>
          </w:tcPr>
          <w:p>
            <w:r>
              <w:t>EVID-001</w:t>
            </w:r>
          </w:p>
        </w:tc>
        <w:tc>
          <w:tcPr>
            <w:tcW w:type="dxa" w:w="1987"/>
          </w:tcPr>
          <w:p>
            <w:r>
              <w:t>SOI não é definida por um nicho; nichos alimentam a plataforma.</w:t>
            </w:r>
          </w:p>
        </w:tc>
        <w:tc>
          <w:tcPr>
            <w:tcW w:type="dxa" w:w="1987"/>
          </w:tcPr>
          <w:p>
            <w:r>
              <w:t>Decisão do projeto</w:t>
            </w:r>
          </w:p>
        </w:tc>
        <w:tc>
          <w:tcPr>
            <w:tcW w:type="dxa" w:w="1987"/>
          </w:tcPr>
          <w:p>
            <w:r>
              <w:t>Alta</w:t>
            </w:r>
          </w:p>
        </w:tc>
        <w:tc>
          <w:tcPr>
            <w:tcW w:type="dxa" w:w="1987"/>
          </w:tcPr>
          <w:p>
            <w:r>
              <w:t>Vigente</w:t>
            </w:r>
          </w:p>
        </w:tc>
      </w:tr>
      <w:tr>
        <w:tc>
          <w:tcPr>
            <w:tcW w:type="dxa" w:w="1987"/>
          </w:tcPr>
          <w:p>
            <w:r>
              <w:t>EVID-002</w:t>
            </w:r>
          </w:p>
        </w:tc>
        <w:tc>
          <w:tcPr>
            <w:tcW w:type="dxa" w:w="1987"/>
          </w:tcPr>
          <w:p>
            <w:r>
              <w:t>SOI Pizzas é primeiro Design Partner/Learning Lab.</w:t>
            </w:r>
          </w:p>
        </w:tc>
        <w:tc>
          <w:tcPr>
            <w:tcW w:type="dxa" w:w="1987"/>
          </w:tcPr>
          <w:p>
            <w:r>
              <w:t>Decisão do projeto</w:t>
            </w:r>
          </w:p>
        </w:tc>
        <w:tc>
          <w:tcPr>
            <w:tcW w:type="dxa" w:w="1987"/>
          </w:tcPr>
          <w:p>
            <w:r>
              <w:t>Alta</w:t>
            </w:r>
          </w:p>
        </w:tc>
        <w:tc>
          <w:tcPr>
            <w:tcW w:type="dxa" w:w="1987"/>
          </w:tcPr>
          <w:p>
            <w:r>
              <w:t>Vigente</w:t>
            </w:r>
          </w:p>
        </w:tc>
      </w:tr>
      <w:tr>
        <w:tc>
          <w:tcPr>
            <w:tcW w:type="dxa" w:w="1987"/>
          </w:tcPr>
          <w:p>
            <w:r>
              <w:t>EVID-003</w:t>
            </w:r>
          </w:p>
        </w:tc>
        <w:tc>
          <w:tcPr>
            <w:tcW w:type="dxa" w:w="1987"/>
          </w:tcPr>
          <w:p>
            <w:r>
              <w:t>Fatia Fina prioriza fluxo transacional crítico.</w:t>
            </w:r>
          </w:p>
        </w:tc>
        <w:tc>
          <w:tcPr>
            <w:tcW w:type="dxa" w:w="1987"/>
          </w:tcPr>
          <w:p>
            <w:r>
              <w:t>Decisão do projeto</w:t>
            </w:r>
          </w:p>
        </w:tc>
        <w:tc>
          <w:tcPr>
            <w:tcW w:type="dxa" w:w="1987"/>
          </w:tcPr>
          <w:p>
            <w:r>
              <w:t>Alta</w:t>
            </w:r>
          </w:p>
        </w:tc>
        <w:tc>
          <w:tcPr>
            <w:tcW w:type="dxa" w:w="1987"/>
          </w:tcPr>
          <w:p>
            <w:r>
              <w:t>Vigente</w:t>
            </w:r>
          </w:p>
        </w:tc>
      </w:tr>
      <w:tr>
        <w:tc>
          <w:tcPr>
            <w:tcW w:type="dxa" w:w="1987"/>
          </w:tcPr>
          <w:p>
            <w:r>
              <w:t>EVID-004</w:t>
            </w:r>
          </w:p>
        </w:tc>
        <w:tc>
          <w:tcPr>
            <w:tcW w:type="dxa" w:w="1987"/>
          </w:tcPr>
          <w:p>
            <w:r>
              <w:t>Proveniência é requisito do conhecimento.</w:t>
            </w:r>
          </w:p>
        </w:tc>
        <w:tc>
          <w:tcPr>
            <w:tcW w:type="dxa" w:w="1987"/>
          </w:tcPr>
          <w:p>
            <w:r>
              <w:t>Decisão do projeto</w:t>
            </w:r>
          </w:p>
        </w:tc>
        <w:tc>
          <w:tcPr>
            <w:tcW w:type="dxa" w:w="1987"/>
          </w:tcPr>
          <w:p>
            <w:r>
              <w:t>Alta</w:t>
            </w:r>
          </w:p>
        </w:tc>
        <w:tc>
          <w:tcPr>
            <w:tcW w:type="dxa" w:w="1987"/>
          </w:tcPr>
          <w:p>
            <w:r>
              <w:t>Vigente</w:t>
            </w:r>
          </w:p>
        </w:tc>
      </w:tr>
      <w:tr>
        <w:tc>
          <w:tcPr>
            <w:tcW w:type="dxa" w:w="1987"/>
          </w:tcPr>
          <w:p>
            <w:r>
              <w:t>EVID-005</w:t>
            </w:r>
          </w:p>
        </w:tc>
        <w:tc>
          <w:tcPr>
            <w:tcW w:type="dxa" w:w="1987"/>
          </w:tcPr>
          <w:p>
            <w:r>
              <w:t>Pareceres Multi-IA devem permanecer independentes até confirmação.</w:t>
            </w:r>
          </w:p>
        </w:tc>
        <w:tc>
          <w:tcPr>
            <w:tcW w:type="dxa" w:w="1987"/>
          </w:tcPr>
          <w:p>
            <w:r>
              <w:t>Regra de governança do projeto</w:t>
            </w:r>
          </w:p>
        </w:tc>
        <w:tc>
          <w:tcPr>
            <w:tcW w:type="dxa" w:w="1987"/>
          </w:tcPr>
          <w:p>
            <w:r>
              <w:t>Alta</w:t>
            </w:r>
          </w:p>
        </w:tc>
        <w:tc>
          <w:tcPr>
            <w:tcW w:type="dxa" w:w="1987"/>
          </w:tcPr>
          <w:p>
            <w:r>
              <w:t>Vigente</w:t>
            </w:r>
          </w:p>
        </w:tc>
      </w:tr>
    </w:tbl>
    <w:p>
      <w:pPr>
        <w:pStyle w:val="Heading1"/>
      </w:pPr>
      <w:r>
        <w:t>4. Regra de qualidade</w:t>
      </w:r>
    </w:p>
    <w:p>
      <w:r>
        <w:t>Nenhuma evidência externa deve ser tratada como fato atual sem verificação de fonte e data. Evidências contraditórias devem permanecer registradas; a divergência não deve ser apagada por síntese prematura.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SOI • Documento controlado • Não incorporar pareceres Multi-IA sem confirmação explícita do usuário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