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Blueprint Oficial V15.1 Refinado</w:t>
      </w:r>
    </w:p>
    <w:p>
      <w:pPr>
        <w:jc w:val="center"/>
      </w:pPr>
      <w:r>
        <w:t>Documento oficial de trabalho • Versão V15.1 • 28/09/2026</w:t>
      </w:r>
    </w:p>
    <w:p/>
    <w:p>
      <w:pPr>
        <w:pStyle w:val="Heading1"/>
      </w:pPr>
      <w:r>
        <w:t>1. Status e autoridade documental</w:t>
      </w:r>
    </w:p>
    <w:p>
      <w:r>
        <w:t>A V15.1 Refinada é a fonte-mestra operacional para a fase de formalização documental. V15.0 permanece como histórico. Este documento separa núcleo vigente, decisões, premissas, itens abertos e ideias futuras.</w:t>
      </w:r>
    </w:p>
    <w:p>
      <w:pPr>
        <w:pStyle w:val="Heading1"/>
      </w:pPr>
      <w:r>
        <w:t>2. Identidade e posicionamento</w:t>
      </w:r>
    </w:p>
    <w:p>
      <w:r>
        <w:t>SOI — Sistema Operativo e Intelligenza. A inteligência aplicada à gestão de negócios. O posicionamento estrutural é: “O sistema operacional do negócio.” A natureza conceitual é de uma fábrica inteligente de soluções de negócio, com autoconhecimento operacional.</w:t>
      </w:r>
    </w:p>
    <w:p>
      <w:r>
        <w:t>Princípio: “Os nichos alimentam a SOI; não definem a SOI.” SOI Pizzas é o primeiro vertical/laboratório de aprendizagem, não a definição da plataforma.</w:t>
      </w:r>
    </w:p>
    <w:p>
      <w:pPr>
        <w:pStyle w:val="Heading1"/>
      </w:pPr>
      <w:r>
        <w:t>3. Modelo de produto</w:t>
      </w:r>
    </w:p>
    <w:p>
      <w:pPr>
        <w:pStyle w:val="ListBullet"/>
      </w:pPr>
      <w:r>
        <w:t>Plataforma SaaS nativa multi-tenant + fábrica de soluções reutilizáveis.</w:t>
      </w:r>
    </w:p>
    <w:p>
      <w:pPr>
        <w:pStyle w:val="ListBullet"/>
      </w:pPr>
      <w:r>
        <w:t>Core → Vertical → Tenant como estrutura-base.</w:t>
      </w:r>
    </w:p>
    <w:p>
      <w:pPr>
        <w:pStyle w:val="ListBullet"/>
      </w:pPr>
      <w:r>
        <w:t>SOI Pizzas como Design Partner / Learning Lab.</w:t>
      </w:r>
    </w:p>
    <w:p>
      <w:pPr>
        <w:pStyle w:val="ListBullet"/>
      </w:pPr>
      <w:r>
        <w:t>Replicação por parametrização, evitando reprogramação pelo N5.</w:t>
      </w:r>
    </w:p>
    <w:p>
      <w:pPr>
        <w:pStyle w:val="ListBullet"/>
      </w:pPr>
      <w:r>
        <w:t>Ciclos: PEDIDO → DADO → INTELIGÊNCIA → AÇÃO → VENDA; Operação → Demanda → Conhecimento → Solução → Padrão → Escala; Mercado → Pesquisa → Evidência → Contexto → Orientação → Ação → Resultado → Aprendizado → Reavaliação.</w:t>
      </w:r>
    </w:p>
    <w:p>
      <w:pPr>
        <w:pStyle w:val="Heading1"/>
      </w:pPr>
      <w:r>
        <w:t>4. Gate 0 — disciplina da primeira entrega</w:t>
      </w:r>
    </w:p>
    <w:p>
      <w:r>
        <w:t>A “Fatia Fina” prioriza a validação do fluxo transacional crítico antes da expansão da fábrica/inteligência.</w:t>
      </w:r>
    </w:p>
    <w:p>
      <w:pPr>
        <w:pStyle w:val="ListBullet"/>
      </w:pPr>
      <w:r>
        <w:t>Cardápio → Pedido → Impressão/KDS → Fechamento.</w:t>
      </w:r>
    </w:p>
    <w:p>
      <w:pPr>
        <w:pStyle w:val="ListBullet"/>
      </w:pPr>
      <w:r>
        <w:t>Validar operação real do Design Partner.</w:t>
      </w:r>
    </w:p>
    <w:p>
      <w:pPr>
        <w:pStyle w:val="ListBullet"/>
      </w:pPr>
      <w:r>
        <w:t>Evitar backlog de arquitetura sem evidência operacional.</w:t>
      </w:r>
    </w:p>
    <w:p>
      <w:pPr>
        <w:pStyle w:val="ListBullet"/>
      </w:pPr>
      <w:r>
        <w:t>Ideias futuras permanecem registradas, mas fora do caminho crítico do MVP.</w:t>
      </w:r>
    </w:p>
    <w:p>
      <w:pPr>
        <w:pStyle w:val="Heading1"/>
      </w:pPr>
      <w:r>
        <w:t>5. Arquitetura macro</w:t>
      </w:r>
    </w:p>
    <w:p>
      <w:pPr>
        <w:pStyle w:val="ListBullet"/>
      </w:pPr>
      <w:r>
        <w:t>Core: identidade, autenticação/RBAC, licenciamento, notificações, pagamentos, analytics, auditoria e observabilidade.</w:t>
      </w:r>
    </w:p>
    <w:p>
      <w:pPr>
        <w:pStyle w:val="ListBullet"/>
      </w:pPr>
      <w:r>
        <w:t>Vertical: regras, componentes e experiências específicas de cada nicho.</w:t>
      </w:r>
    </w:p>
    <w:p>
      <w:pPr>
        <w:pStyle w:val="ListBullet"/>
      </w:pPr>
      <w:r>
        <w:t>Tenant: dados, configuração, identidade comercial e operação do cliente.</w:t>
      </w:r>
    </w:p>
    <w:p>
      <w:pPr>
        <w:pStyle w:val="ListBullet"/>
      </w:pPr>
      <w:r>
        <w:t>Motores especializados: Descoberta, Conhecimento, Aprendizado, Inteligência Externa, Demo/Gêmeo, Implantação e Fábrica de Soluções.</w:t>
      </w:r>
    </w:p>
    <w:p>
      <w:pPr>
        <w:pStyle w:val="ListBullet"/>
      </w:pPr>
      <w:r>
        <w:t>N1/N2: front/operação. N3/N4: coleta, apoio e parametrização. N5: cockpit de gestão/configuração.</w:t>
      </w:r>
    </w:p>
    <w:p>
      <w:pPr>
        <w:pStyle w:val="Heading1"/>
      </w:pPr>
      <w:r>
        <w:t>6. Multi-tenancy e segurança</w:t>
      </w:r>
    </w:p>
    <w:p>
      <w:pPr>
        <w:pStyle w:val="ListBullet"/>
      </w:pPr>
      <w:r>
        <w:t>tenant_id como princípio transversal.</w:t>
      </w:r>
    </w:p>
    <w:p>
      <w:pPr>
        <w:pStyle w:val="ListBullet"/>
      </w:pPr>
      <w:r>
        <w:t>RLS como camada de isolamento.</w:t>
      </w:r>
    </w:p>
    <w:p>
      <w:pPr>
        <w:pStyle w:val="ListBullet"/>
      </w:pPr>
      <w:r>
        <w:t>Estratégia de isolamento por plano: compartilhado no Essential, schema dedicado no Advanced e isolamento dedicado no Enterprise, conforme decisão de implantação.</w:t>
      </w:r>
    </w:p>
    <w:p>
      <w:pPr>
        <w:pStyle w:val="ListBullet"/>
      </w:pPr>
      <w:r>
        <w:t>Segredos criptografados e gestão segura de credenciais.</w:t>
      </w:r>
    </w:p>
    <w:p>
      <w:pPr>
        <w:pStyle w:val="ListBullet"/>
      </w:pPr>
      <w:r>
        <w:t>Demo nunca deve contaminar produção.</w:t>
      </w:r>
    </w:p>
    <w:p>
      <w:pPr>
        <w:pStyle w:val="ListBullet"/>
      </w:pPr>
      <w:r>
        <w:t>Break-glass N5 somente com auditoria.</w:t>
      </w:r>
    </w:p>
    <w:p>
      <w:pPr>
        <w:pStyle w:val="ListBullet"/>
      </w:pPr>
      <w:r>
        <w:t>LGPD by design.</w:t>
      </w:r>
    </w:p>
    <w:p>
      <w:pPr>
        <w:pStyle w:val="ListBullet"/>
      </w:pPr>
      <w:r>
        <w:t>Integrações externas por Anti-Corruption Layer.</w:t>
      </w:r>
    </w:p>
    <w:p>
      <w:pPr>
        <w:pStyle w:val="Heading1"/>
      </w:pPr>
      <w:r>
        <w:t>7. Conhecimento, evidência e proveniência</w:t>
      </w:r>
    </w:p>
    <w:p>
      <w:r>
        <w:t>Toda evidência ou conhecimento operacional que possa influenciar decisões deve carregar proveniência mínima: fonte, data, confiança, validade e contexto. A regra operacional inclui PROVENIENCIAR.</w:t>
      </w:r>
    </w:p>
    <w:p>
      <w:pPr>
        <w:pStyle w:val="Heading1"/>
      </w:pPr>
      <w:r>
        <w:t>8. Governança de conhecimento D1/D2/D3</w:t>
      </w:r>
    </w:p>
    <w:p>
      <w:pPr>
        <w:pStyle w:val="ListBullet"/>
      </w:pPr>
      <w:r>
        <w:t>D1: não generalizar.</w:t>
      </w:r>
    </w:p>
    <w:p>
      <w:pPr>
        <w:pStyle w:val="ListBullet"/>
      </w:pPr>
      <w:r>
        <w:t>D2: somente agregado, anonimizado e autorizado.</w:t>
      </w:r>
    </w:p>
    <w:p>
      <w:pPr>
        <w:pStyle w:val="ListBullet"/>
      </w:pPr>
      <w:r>
        <w:t>D3: pode generalizar quando houver evidência suficiente.</w:t>
      </w:r>
    </w:p>
    <w:p>
      <w:pPr>
        <w:pStyle w:val="ListBullet"/>
      </w:pPr>
      <w:r>
        <w:t>Referência de promoção: mínimo de 3 tenants independentes ou 1 tenant + fonte externa forte, sujeito a revisão.</w:t>
      </w:r>
    </w:p>
    <w:p>
      <w:pPr>
        <w:pStyle w:val="Heading1"/>
      </w:pPr>
      <w:r>
        <w:t>9. Economia e escala</w:t>
      </w:r>
    </w:p>
    <w:p>
      <w:pPr>
        <w:pStyle w:val="ListBullet"/>
      </w:pPr>
      <w:r>
        <w:t>Medir custo por tenant antes de habilitar IA pesada.</w:t>
      </w:r>
    </w:p>
    <w:p>
      <w:pPr>
        <w:pStyle w:val="ListBullet"/>
      </w:pPr>
      <w:r>
        <w:t>Priorizar componentes reutilizáveis.</w:t>
      </w:r>
    </w:p>
    <w:p>
      <w:pPr>
        <w:pStyle w:val="ListBullet"/>
      </w:pPr>
      <w:r>
        <w:t>Onboarding alvo: de semanas para horas/dias.</w:t>
      </w:r>
    </w:p>
    <w:p>
      <w:pPr>
        <w:pStyle w:val="ListBullet"/>
      </w:pPr>
      <w:r>
        <w:t>Evitar over-engineering e backlog paralysis.</w:t>
      </w:r>
    </w:p>
    <w:p>
      <w:pPr>
        <w:pStyle w:val="ListBullet"/>
      </w:pPr>
      <w:r>
        <w:t>Preparar WhatsApp, iFood, NFC-e e PIX via camadas desacopladas.</w:t>
      </w:r>
    </w:p>
    <w:p>
      <w:pPr>
        <w:pStyle w:val="Heading1"/>
      </w:pPr>
      <w:r>
        <w:t>10. N5 Cockpit</w:t>
      </w:r>
    </w:p>
    <w:p>
      <w:r>
        <w:t>Interface de configuração e operação para pessoa não técnica, com parametrização guiada, campos explicativos, exemplos, validações e trilhas que reduzam a carga cognitiva. N3/N4 devem absorver parte da coleta e preparação.</w:t>
      </w:r>
    </w:p>
    <w:p>
      <w:pPr>
        <w:pStyle w:val="Heading1"/>
      </w:pPr>
      <w:r>
        <w:t>11. Demo, Gêmeo e Implantação</w:t>
      </w:r>
    </w:p>
    <w:p>
      <w:pPr>
        <w:pStyle w:val="ListBullet"/>
      </w:pPr>
      <w:r>
        <w:t>Demo pode usar dados fictícios/preenchidos para demonstrar a experiência de níveis de licença.</w:t>
      </w:r>
    </w:p>
    <w:p>
      <w:pPr>
        <w:pStyle w:val="ListBullet"/>
      </w:pPr>
      <w:r>
        <w:t>Protótipo do prospect é base de aprendizagem; produção deve ser limpa e replicada.</w:t>
      </w:r>
    </w:p>
    <w:p>
      <w:pPr>
        <w:pStyle w:val="ListBullet"/>
      </w:pPr>
      <w:r>
        <w:t>Separar claramente demo, prospecting knowledge e produção.</w:t>
      </w:r>
    </w:p>
    <w:p>
      <w:pPr>
        <w:pStyle w:val="ListBullet"/>
      </w:pPr>
      <w:r>
        <w:t>Registrar origem e status de cada dado.</w:t>
      </w:r>
    </w:p>
    <w:p>
      <w:pPr>
        <w:pStyle w:val="Heading1"/>
      </w:pPr>
      <w:r>
        <w:t>12. Licenciamento</w:t>
      </w:r>
    </w:p>
    <w:p>
      <w:r>
        <w:t>Modelo de múltiplos níveis, com capacidades progressivas e experiência demonstrável. O desenho final de preços e limites permanece decisão de negócio a validar.</w:t>
      </w:r>
    </w:p>
    <w:p>
      <w:pPr>
        <w:pStyle w:val="Heading1"/>
      </w:pPr>
      <w:r>
        <w:t>13. Governança de execução</w:t>
      </w:r>
    </w:p>
    <w:p>
      <w:pPr>
        <w:pStyle w:val="ListBullet"/>
      </w:pPr>
      <w:r>
        <w:t>Ações automáticas somente quando reversíveis, sem custo, sem compromisso externo e sem risco significativo de dados, segurança, reputação ou continuidade.</w:t>
      </w:r>
    </w:p>
    <w:p>
      <w:pPr>
        <w:pStyle w:val="ListBullet"/>
      </w:pPr>
      <w:r>
        <w:t>Demais ações exigem confirmação explícita.</w:t>
      </w:r>
    </w:p>
    <w:p>
      <w:pPr>
        <w:pStyle w:val="ListBullet"/>
      </w:pPr>
      <w:r>
        <w:t>Decisões relevantes devem possuir registro e evidência.</w:t>
      </w:r>
    </w:p>
    <w:p>
      <w:pPr>
        <w:pStyle w:val="ListBullet"/>
      </w:pPr>
      <w:r>
        <w:t>Pareceres Multi-IA permanecem independentes até confirmação individual do usuário.</w:t>
      </w:r>
    </w:p>
    <w:p>
      <w:pPr>
        <w:pStyle w:val="Heading1"/>
      </w:pPr>
      <w:r>
        <w:t>14. Roadmap por gates</w:t>
      </w:r>
    </w:p>
    <w:p>
      <w:pPr>
        <w:pStyle w:val="ListBullet"/>
      </w:pPr>
      <w:r>
        <w:t>G0: formalização documental e validação de escopo.</w:t>
      </w:r>
    </w:p>
    <w:p>
      <w:pPr>
        <w:pStyle w:val="ListBullet"/>
      </w:pPr>
      <w:r>
        <w:t>Gate Multi-IA: coleta independente, rastreável e não consolidada.</w:t>
      </w:r>
    </w:p>
    <w:p>
      <w:pPr>
        <w:pStyle w:val="ListBullet"/>
      </w:pPr>
      <w:r>
        <w:t>G1: arquitetura implementável.</w:t>
      </w:r>
    </w:p>
    <w:p>
      <w:pPr>
        <w:pStyle w:val="ListBullet"/>
      </w:pPr>
      <w:r>
        <w:t>G2: modelo de dados e contratos.</w:t>
      </w:r>
    </w:p>
    <w:p>
      <w:pPr>
        <w:pStyle w:val="ListBullet"/>
      </w:pPr>
      <w:r>
        <w:t>G3: MVP SOI Pizzas.</w:t>
      </w:r>
    </w:p>
    <w:p>
      <w:pPr>
        <w:pStyle w:val="ListBullet"/>
      </w:pPr>
      <w:r>
        <w:t>G4: N5 Cockpit.</w:t>
      </w:r>
    </w:p>
    <w:p>
      <w:pPr>
        <w:pStyle w:val="ListBullet"/>
      </w:pPr>
      <w:r>
        <w:t>G5: replicação e escala.</w:t>
      </w:r>
    </w:p>
    <w:p>
      <w:pPr>
        <w:pStyle w:val="Heading1"/>
      </w:pPr>
      <w:r>
        <w:t>15. Itens abertos</w:t>
      </w:r>
    </w:p>
    <w:p>
      <w:pPr>
        <w:pStyle w:val="ListBullet"/>
      </w:pPr>
      <w:r>
        <w:t>Definição final do modelo de isolamento por plano e seus custos reais.</w:t>
      </w:r>
    </w:p>
    <w:p>
      <w:pPr>
        <w:pStyle w:val="ListBullet"/>
      </w:pPr>
      <w:r>
        <w:t>Contratos definitivos de integração.</w:t>
      </w:r>
    </w:p>
    <w:p>
      <w:pPr>
        <w:pStyle w:val="ListBullet"/>
      </w:pPr>
      <w:r>
        <w:t>Modelo de dados implementável.</w:t>
      </w:r>
    </w:p>
    <w:p>
      <w:pPr>
        <w:pStyle w:val="ListBullet"/>
      </w:pPr>
      <w:r>
        <w:t>Métricas de sucesso do Design Partner.</w:t>
      </w:r>
    </w:p>
    <w:p>
      <w:pPr>
        <w:pStyle w:val="ListBullet"/>
      </w:pPr>
      <w:r>
        <w:t>Matriz definitiva de licenciamento.</w:t>
      </w:r>
    </w:p>
    <w:p>
      <w:pPr>
        <w:pStyle w:val="ListBullet"/>
      </w:pPr>
      <w:r>
        <w:t>Critérios operacionais de promoção D1/D2/D3.</w:t>
      </w:r>
    </w:p>
    <w:p>
      <w:pPr>
        <w:pStyle w:val="ListBullet"/>
      </w:pPr>
      <w:r>
        <w:t>Validação independente Multi-IA.</w:t>
      </w:r>
    </w:p>
    <w:p>
      <w:pPr>
        <w:pStyle w:val="Heading1"/>
      </w:pPr>
      <w:r>
        <w:t>16. Ideias futuras — fora do Gate 0</w:t>
      </w:r>
    </w:p>
    <w:p>
      <w:r>
        <w:t>SOI Oficinas, SOI Barbearias e demais verticais; inteligência externa avançada; automações adicionais; expansão de fábrica de soluções; novos motores e integrações. Estes itens não devem ampliar o MVP sem evidência e gate.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